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Living Professional Record Architecture at a Glance</w:t>
      </w:r>
    </w:p>
    <w:p>
      <w:pPr>
        <w:spacing w:before="0" w:after="160"/>
      </w:pPr>
      <w:r>
        <w:rPr>
          <w:b w:val="0"/>
          <w:i/>
          <w:color w:val="5A636E"/>
          <w:sz w:val="23"/>
        </w:rPr>
        <w:t>From The Living Professional Record, Jeffrey Paul Chamberlain</w:t>
      </w:r>
    </w:p>
    <w:p>
      <w:pPr>
        <w:pBdr>
          <w:top w:val="single" w:sz="4" w:space="6" w:color="9AA5B1"/>
          <w:left w:val="single" w:sz="4" w:space="6" w:color="9AA5B1"/>
          <w:bottom w:val="single" w:sz="4" w:space="6" w:color="9AA5B1"/>
          <w:right w:val="single" w:sz="4" w:space="6" w:color="9AA5B1"/>
        </w:pBdr>
        <w:shd w:val="clear" w:color="auto" w:fill="F2F4F7"/>
        <w:spacing w:before="40" w:after="240"/>
        <w:ind w:left="144" w:right="144"/>
      </w:pPr>
      <w:r>
        <w:rPr>
          <w:b w:val="0"/>
          <w:i w:val="0"/>
          <w:sz w:val="19"/>
        </w:rPr>
        <w:t>Free to use for your own record. These worksheets are for personal organization and reflection. Do not enter confidential employer, client, patient, student or coworker information, or anything you are not allowed to keep or share. Use summary-only placeholders instead. Do not paste restricted material into outside AI tools unless you are authorized and the tool is approved for that use. These worksheets are not legal, employment, financial or career advice, and they do not promise an interview, a job or any other result.</w:t>
      </w:r>
    </w:p>
    <w:p>
      <w:pPr>
        <w:spacing w:before="0" w:after="120"/>
      </w:pPr>
      <w:r>
        <w:rPr>
          <w:b w:val="0"/>
          <w:i w:val="0"/>
        </w:rPr>
        <w:t>The Living Professional Record is the private, worker-controlled evidence base beneath professional surfaces.</w:t>
      </w:r>
    </w:p>
    <w:p>
      <w:pPr>
        <w:spacing w:before="0" w:after="120"/>
      </w:pPr>
      <w:r>
        <w:rPr>
          <w:b w:val="0"/>
          <w:i w:val="0"/>
        </w:rPr>
        <w:t>It is not a resume, profile, portfolio, brag file, credential wallet, employer-owned talent file, or surveillance system. Those may all exist around the worker, and some may be useful. But the Living Professional Record serves a different purpose. It preserves the source material from which truthful professional claims can be rendered.</w:t>
      </w:r>
    </w:p>
    <w:p>
      <w:pPr>
        <w:keepNext/>
        <w:spacing w:before="0" w:after="60"/>
      </w:pPr>
      <w:r>
        <w:rPr>
          <w:b w:val="0"/>
          <w:i w:val="0"/>
        </w:rPr>
        <w:t>A simple way to understand the architecture is this:</w:t>
      </w:r>
    </w:p>
    <w:p>
      <w:pPr>
        <w:spacing w:before="0" w:after="120"/>
      </w:pPr>
      <w:r>
        <w:rPr>
          <w:b w:val="0"/>
          <w:i w:val="0"/>
        </w:rPr>
        <w:t>Evidence becomes usable when it has context.</w:t>
      </w:r>
      <w:r>
        <w:br/>
      </w:r>
      <w:r>
        <w:rPr>
          <w:b w:val="0"/>
          <w:i w:val="0"/>
        </w:rPr>
        <w:t>Context becomes portable when it is connected to claims.</w:t>
      </w:r>
      <w:r>
        <w:br/>
      </w:r>
      <w:r>
        <w:rPr>
          <w:b w:val="0"/>
          <w:i w:val="0"/>
        </w:rPr>
        <w:t>Claims become trustworthy when they are supported by proof, witnesses, confidence levels, and privacy boundaries.</w:t>
      </w:r>
      <w:r>
        <w:br/>
      </w:r>
      <w:r>
        <w:rPr>
          <w:b w:val="0"/>
          <w:i w:val="0"/>
        </w:rPr>
        <w:t>Professional surfaces become stronger when they are rendered from that governed source.</w:t>
      </w:r>
    </w:p>
    <w:p>
      <w:pPr>
        <w:spacing w:before="0" w:after="120"/>
      </w:pPr>
      <w:r>
        <w:rPr>
          <w:b w:val="0"/>
          <w:i w:val="0"/>
        </w:rPr>
        <w:t>The record does not need to begin as a complex system. It can begin with one role, one project, one claim, one decision, one contribution, or one evidence folder. Over time, the record becomes more useful as the layers begin to connect.</w:t>
      </w:r>
    </w:p>
    <w:p>
      <w:pPr>
        <w:pStyle w:val="Heading1"/>
      </w:pPr>
      <w:r>
        <w:rPr>
          <w:b/>
          <w:i w:val="0"/>
        </w:rPr>
        <w:t>The Core Layers</w:t>
      </w:r>
    </w:p>
    <w:p>
      <w:pPr>
        <w:pStyle w:val="Heading2"/>
      </w:pPr>
      <w:r>
        <w:rPr>
          <w:b/>
          <w:i w:val="0"/>
        </w:rPr>
        <w:t>1. Evidence Vault</w:t>
      </w:r>
    </w:p>
    <w:p>
      <w:pPr>
        <w:spacing w:before="0" w:after="120"/>
      </w:pPr>
      <w:r>
        <w:rPr>
          <w:b w:val="0"/>
          <w:i w:val="0"/>
        </w:rPr>
        <w:t>The Evidence Vault holds source material.</w:t>
      </w:r>
    </w:p>
    <w:p>
      <w:pPr>
        <w:spacing w:before="0" w:after="120"/>
      </w:pPr>
      <w:r>
        <w:rPr>
          <w:b w:val="0"/>
          <w:i w:val="0"/>
        </w:rPr>
        <w:t>This may include work artifacts, project files, writing samples, presentations, public links, credentials, feedback, awards, notes, reports, process documents, screenshots, approved work samples, and private summaries of work that cannot be shared directly.</w:t>
      </w:r>
    </w:p>
    <w:p>
      <w:pPr>
        <w:keepNext/>
        <w:spacing w:before="0" w:after="60"/>
      </w:pPr>
      <w:r>
        <w:rPr>
          <w:b w:val="0"/>
          <w:i w:val="0"/>
        </w:rPr>
        <w:t>The Evidence Vault asks:</w:t>
      </w:r>
    </w:p>
    <w:p>
      <w:pPr>
        <w:spacing w:before="0" w:after="120"/>
      </w:pPr>
      <w:r>
        <w:rPr>
          <w:b w:val="0"/>
          <w:i w:val="0"/>
        </w:rPr>
        <w:t>What proof, artifact, record, or memory supports the truth of this work?</w:t>
      </w:r>
    </w:p>
    <w:p>
      <w:pPr>
        <w:spacing w:before="0" w:after="120"/>
      </w:pPr>
      <w:r>
        <w:rPr>
          <w:b w:val="0"/>
          <w:i w:val="0"/>
        </w:rPr>
        <w:t>Evidence should be saved with enough metadata to make it useful later: date, role or project, description, claim supported, privacy status, and location.</w:t>
      </w:r>
    </w:p>
    <w:p>
      <w:pPr>
        <w:pStyle w:val="Heading2"/>
      </w:pPr>
      <w:r>
        <w:rPr>
          <w:b/>
          <w:i w:val="0"/>
        </w:rPr>
        <w:t>2. Role Record</w:t>
      </w:r>
    </w:p>
    <w:p>
      <w:pPr>
        <w:spacing w:before="0" w:after="120"/>
      </w:pPr>
      <w:r>
        <w:rPr>
          <w:b w:val="0"/>
          <w:i w:val="0"/>
        </w:rPr>
        <w:t>The Role Record captures the real shape of a role beyond the title.</w:t>
      </w:r>
    </w:p>
    <w:p>
      <w:pPr>
        <w:spacing w:before="0" w:after="120"/>
      </w:pPr>
      <w:r>
        <w:rPr>
          <w:b w:val="0"/>
          <w:i w:val="0"/>
        </w:rPr>
        <w:t>It includes the official title, plain-language role description, purpose, scope, authority, accountability, recurring responsibilities, recurring decisions, stakeholders, constraints, outputs, routine contributions, learning, witnesses, possible claims, and privacy limits.</w:t>
      </w:r>
    </w:p>
    <w:p>
      <w:pPr>
        <w:keepNext/>
        <w:spacing w:before="0" w:after="60"/>
      </w:pPr>
      <w:r>
        <w:rPr>
          <w:b w:val="0"/>
          <w:i w:val="0"/>
        </w:rPr>
        <w:t>The Role Record asks:</w:t>
      </w:r>
    </w:p>
    <w:p>
      <w:pPr>
        <w:spacing w:before="0" w:after="120"/>
      </w:pPr>
      <w:r>
        <w:rPr>
          <w:b w:val="0"/>
          <w:i w:val="0"/>
        </w:rPr>
        <w:t>What did this role actually require, and what does the title fail to explain?</w:t>
      </w:r>
    </w:p>
    <w:p>
      <w:pPr>
        <w:pStyle w:val="Heading2"/>
      </w:pPr>
      <w:r>
        <w:rPr>
          <w:b/>
          <w:i w:val="0"/>
        </w:rPr>
        <w:t>3. Project Record</w:t>
      </w:r>
    </w:p>
    <w:p>
      <w:pPr>
        <w:spacing w:before="0" w:after="120"/>
      </w:pPr>
      <w:r>
        <w:rPr>
          <w:b w:val="0"/>
          <w:i w:val="0"/>
        </w:rPr>
        <w:t>The Project Record captures one bounded body of work.</w:t>
      </w:r>
    </w:p>
    <w:p>
      <w:pPr>
        <w:spacing w:before="0" w:after="120"/>
      </w:pPr>
      <w:r>
        <w:rPr>
          <w:b w:val="0"/>
          <w:i w:val="0"/>
        </w:rPr>
        <w:t>It includes the project boundary, situation, purpose, role, stakeholders, scope, constraints, actions, decisions, outcomes, evidence, witnesses, learning, possible claims, privacy limits, and possible renderings.</w:t>
      </w:r>
    </w:p>
    <w:p>
      <w:pPr>
        <w:keepNext/>
        <w:spacing w:before="0" w:after="60"/>
      </w:pPr>
      <w:r>
        <w:rPr>
          <w:b w:val="0"/>
          <w:i w:val="0"/>
        </w:rPr>
        <w:t>The Project Record asks:</w:t>
      </w:r>
    </w:p>
    <w:p>
      <w:pPr>
        <w:spacing w:before="0" w:after="120"/>
      </w:pPr>
      <w:r>
        <w:rPr>
          <w:b w:val="0"/>
          <w:i w:val="0"/>
        </w:rPr>
        <w:t>What happened, what did I do, what changed, and what can this project truthfully support?</w:t>
      </w:r>
    </w:p>
    <w:p>
      <w:pPr>
        <w:pStyle w:val="Heading2"/>
      </w:pPr>
      <w:r>
        <w:rPr>
          <w:b/>
          <w:i w:val="0"/>
        </w:rPr>
        <w:t>4. Decision and Judgment Log</w:t>
      </w:r>
    </w:p>
    <w:p>
      <w:pPr>
        <w:spacing w:before="0" w:after="120"/>
      </w:pPr>
      <w:r>
        <w:rPr>
          <w:b w:val="0"/>
          <w:i w:val="0"/>
        </w:rPr>
        <w:t>The Decision and Judgment Log preserves professional thinking that may not appear in final artifacts.</w:t>
      </w:r>
    </w:p>
    <w:p>
      <w:pPr>
        <w:spacing w:before="0" w:after="120"/>
      </w:pPr>
      <w:r>
        <w:rPr>
          <w:b w:val="0"/>
          <w:i w:val="0"/>
        </w:rPr>
        <w:t>It includes the situation, decision needed, what was known, what was uncertain, constraints, options, tradeoffs, decision made, role, outcome, lesson, possible claims, privacy limits, and supporting evidence.</w:t>
      </w:r>
    </w:p>
    <w:p>
      <w:pPr>
        <w:keepNext/>
        <w:spacing w:before="0" w:after="60"/>
      </w:pPr>
      <w:r>
        <w:rPr>
          <w:b w:val="0"/>
          <w:i w:val="0"/>
        </w:rPr>
        <w:t>The Decision and Judgment Log asks:</w:t>
      </w:r>
    </w:p>
    <w:p>
      <w:pPr>
        <w:spacing w:before="0" w:after="120"/>
      </w:pPr>
      <w:r>
        <w:rPr>
          <w:b w:val="0"/>
          <w:i w:val="0"/>
        </w:rPr>
        <w:t>What did I decide under constraint, and what does that reveal about my judgment?</w:t>
      </w:r>
    </w:p>
    <w:p>
      <w:pPr>
        <w:pStyle w:val="Heading2"/>
      </w:pPr>
      <w:r>
        <w:rPr>
          <w:b/>
          <w:i w:val="0"/>
        </w:rPr>
        <w:t>5. Contribution Record</w:t>
      </w:r>
    </w:p>
    <w:p>
      <w:pPr>
        <w:spacing w:before="0" w:after="120"/>
      </w:pPr>
      <w:r>
        <w:rPr>
          <w:b w:val="0"/>
          <w:i w:val="0"/>
        </w:rPr>
        <w:t>The Contribution Record captures work that metrics often miss.</w:t>
      </w:r>
    </w:p>
    <w:p>
      <w:pPr>
        <w:spacing w:before="0" w:after="120"/>
      </w:pPr>
      <w:r>
        <w:rPr>
          <w:b w:val="0"/>
          <w:i w:val="0"/>
        </w:rPr>
        <w:t>This may include stabilizing, preventing, translating, connecting, developing people, repairing, enabling, preserving institutional memory, relational work, caregiving, volunteer work, or other forms of contribution that may not become clean numbers.</w:t>
      </w:r>
    </w:p>
    <w:p>
      <w:pPr>
        <w:keepNext/>
        <w:spacing w:before="0" w:after="60"/>
      </w:pPr>
      <w:r>
        <w:rPr>
          <w:b w:val="0"/>
          <w:i w:val="0"/>
        </w:rPr>
        <w:t>The Contribution Record asks:</w:t>
      </w:r>
    </w:p>
    <w:p>
      <w:pPr>
        <w:spacing w:before="0" w:after="120"/>
      </w:pPr>
      <w:r>
        <w:rPr>
          <w:b w:val="0"/>
          <w:i w:val="0"/>
        </w:rPr>
        <w:t>What changed, improved, held together, became possible, or did not get worse because of this work?</w:t>
      </w:r>
    </w:p>
    <w:p>
      <w:pPr>
        <w:pStyle w:val="Heading2"/>
      </w:pPr>
      <w:r>
        <w:rPr>
          <w:b/>
          <w:i w:val="0"/>
        </w:rPr>
        <w:t>6. Context Layer</w:t>
      </w:r>
    </w:p>
    <w:p>
      <w:pPr>
        <w:spacing w:before="0" w:after="120"/>
      </w:pPr>
      <w:r>
        <w:rPr>
          <w:b w:val="0"/>
          <w:i w:val="0"/>
        </w:rPr>
        <w:t>The Context Layer gives evidence meaning.</w:t>
      </w:r>
    </w:p>
    <w:p>
      <w:pPr>
        <w:spacing w:before="0" w:after="120"/>
      </w:pPr>
      <w:r>
        <w:rPr>
          <w:b w:val="0"/>
          <w:i w:val="0"/>
        </w:rPr>
        <w:t>It preserves scope, constraints, stakes, authority, stakeholders, environment, timing, tools, systems, methods, AI assistance where appropriate, and privacy limits.</w:t>
      </w:r>
    </w:p>
    <w:p>
      <w:pPr>
        <w:keepNext/>
        <w:spacing w:before="0" w:after="60"/>
      </w:pPr>
      <w:r>
        <w:rPr>
          <w:b w:val="0"/>
          <w:i w:val="0"/>
        </w:rPr>
        <w:t>The Context Layer asks:</w:t>
      </w:r>
    </w:p>
    <w:p>
      <w:pPr>
        <w:spacing w:before="0" w:after="120"/>
      </w:pPr>
      <w:r>
        <w:rPr>
          <w:b w:val="0"/>
          <w:i w:val="0"/>
        </w:rPr>
        <w:t>What would someone need to understand before judging this claim fairly?</w:t>
      </w:r>
    </w:p>
    <w:p>
      <w:pPr>
        <w:pStyle w:val="Heading2"/>
      </w:pPr>
      <w:r>
        <w:rPr>
          <w:b/>
          <w:i w:val="0"/>
        </w:rPr>
        <w:t>7. Learning Log</w:t>
      </w:r>
    </w:p>
    <w:p>
      <w:pPr>
        <w:spacing w:before="0" w:after="120"/>
      </w:pPr>
      <w:r>
        <w:rPr>
          <w:b w:val="0"/>
          <w:i w:val="0"/>
        </w:rPr>
        <w:t>The Learning Log captures growth over time.</w:t>
      </w:r>
    </w:p>
    <w:p>
      <w:pPr>
        <w:spacing w:before="0" w:after="120"/>
      </w:pPr>
      <w:r>
        <w:rPr>
          <w:b w:val="0"/>
          <w:i w:val="0"/>
        </w:rPr>
        <w:t>It includes formal education, credentials, training, self-study, practice, feedback, mistakes, recovery, new tools, changed assumptions, applied learning, current confidence, and next steps.</w:t>
      </w:r>
    </w:p>
    <w:p>
      <w:pPr>
        <w:keepNext/>
        <w:spacing w:before="0" w:after="60"/>
      </w:pPr>
      <w:r>
        <w:rPr>
          <w:b w:val="0"/>
          <w:i w:val="0"/>
        </w:rPr>
        <w:t>The Learning Log asks:</w:t>
      </w:r>
    </w:p>
    <w:p>
      <w:pPr>
        <w:spacing w:before="0" w:after="120"/>
      </w:pPr>
      <w:r>
        <w:rPr>
          <w:b w:val="0"/>
          <w:i w:val="0"/>
        </w:rPr>
        <w:t>What did I learn, where did I apply it, and what claim can I now make responsibly?</w:t>
      </w:r>
    </w:p>
    <w:p>
      <w:pPr>
        <w:pStyle w:val="Heading2"/>
      </w:pPr>
      <w:r>
        <w:rPr>
          <w:b/>
          <w:i w:val="0"/>
        </w:rPr>
        <w:t>8. Witness and Feedback Layer</w:t>
      </w:r>
    </w:p>
    <w:p>
      <w:pPr>
        <w:spacing w:before="0" w:after="120"/>
      </w:pPr>
      <w:r>
        <w:rPr>
          <w:b w:val="0"/>
          <w:i w:val="0"/>
        </w:rPr>
        <w:t>The Witness and Feedback Layer preserves human context.</w:t>
      </w:r>
    </w:p>
    <w:p>
      <w:pPr>
        <w:spacing w:before="0" w:after="120"/>
      </w:pPr>
      <w:r>
        <w:rPr>
          <w:b w:val="0"/>
          <w:i w:val="0"/>
        </w:rPr>
        <w:t>It includes managers, peers, customers, stakeholders, mentors, direct reports, instructors, community partners, testimonials, recommendations, performance comments, corrective feedback, and relationship status.</w:t>
      </w:r>
    </w:p>
    <w:p>
      <w:pPr>
        <w:keepNext/>
        <w:spacing w:before="0" w:after="60"/>
      </w:pPr>
      <w:r>
        <w:rPr>
          <w:b w:val="0"/>
          <w:i w:val="0"/>
        </w:rPr>
        <w:t>The Witness and Feedback Layer asks:</w:t>
      </w:r>
    </w:p>
    <w:p>
      <w:pPr>
        <w:spacing w:before="0" w:after="120"/>
      </w:pPr>
      <w:r>
        <w:rPr>
          <w:b w:val="0"/>
          <w:i w:val="0"/>
        </w:rPr>
        <w:t>Who saw the work, what did they see, and what can they responsibly speak to?</w:t>
      </w:r>
    </w:p>
    <w:p>
      <w:pPr>
        <w:spacing w:before="0" w:after="120"/>
      </w:pPr>
      <w:r>
        <w:rPr>
          <w:b w:val="0"/>
          <w:i w:val="0"/>
        </w:rPr>
        <w:t>Witnesses are not surveillance. They are human context. They should be treated with permission, specificity, and respect.</w:t>
      </w:r>
    </w:p>
    <w:p>
      <w:pPr>
        <w:pStyle w:val="Heading2"/>
      </w:pPr>
      <w:r>
        <w:rPr>
          <w:b/>
          <w:i w:val="0"/>
        </w:rPr>
        <w:t>9. Claim Map</w:t>
      </w:r>
    </w:p>
    <w:p>
      <w:pPr>
        <w:spacing w:before="0" w:after="120"/>
      </w:pPr>
      <w:r>
        <w:rPr>
          <w:b w:val="0"/>
          <w:i w:val="0"/>
        </w:rPr>
        <w:t>The Claim Map connects professional claims to evidence.</w:t>
      </w:r>
    </w:p>
    <w:p>
      <w:pPr>
        <w:spacing w:before="0" w:after="120"/>
      </w:pPr>
      <w:r>
        <w:rPr>
          <w:b w:val="0"/>
          <w:i w:val="0"/>
        </w:rPr>
        <w:t>It includes the claim, claim type, why the claim matters, evidence, context, role, witnesses, confidence level, privacy boundaries, AI assistance if any, possible renderings, what would strengthen the claim, and what would make the claim misleading.</w:t>
      </w:r>
    </w:p>
    <w:p>
      <w:pPr>
        <w:keepNext/>
        <w:spacing w:before="0" w:after="60"/>
      </w:pPr>
      <w:r>
        <w:rPr>
          <w:b w:val="0"/>
          <w:i w:val="0"/>
        </w:rPr>
        <w:t>The Claim Map asks:</w:t>
      </w:r>
    </w:p>
    <w:p>
      <w:pPr>
        <w:spacing w:before="0" w:after="120"/>
      </w:pPr>
      <w:r>
        <w:rPr>
          <w:b w:val="0"/>
          <w:i w:val="0"/>
        </w:rPr>
        <w:t>What am I saying, what supports it, and where does this claim belong?</w:t>
      </w:r>
    </w:p>
    <w:p>
      <w:pPr>
        <w:pStyle w:val="Heading2"/>
      </w:pPr>
      <w:r>
        <w:rPr>
          <w:b/>
          <w:i w:val="0"/>
        </w:rPr>
        <w:t>10. Claim Status Guide</w:t>
      </w:r>
    </w:p>
    <w:p>
      <w:pPr>
        <w:spacing w:before="0" w:after="120"/>
      </w:pPr>
      <w:r>
        <w:rPr>
          <w:b w:val="0"/>
          <w:i w:val="0"/>
        </w:rPr>
        <w:t>Claim status marks the confidence level of a claim.</w:t>
      </w:r>
    </w:p>
    <w:p>
      <w:pPr>
        <w:keepNext/>
        <w:spacing w:before="0" w:after="60"/>
      </w:pPr>
      <w:r>
        <w:rPr>
          <w:b w:val="0"/>
          <w:i w:val="0"/>
        </w:rPr>
        <w:t>Common labels include:</w:t>
      </w:r>
    </w:p>
    <w:p>
      <w:pPr>
        <w:spacing w:before="0" w:after="120"/>
      </w:pPr>
      <w:r>
        <w:rPr>
          <w:b/>
          <w:i w:val="0"/>
        </w:rPr>
        <w:t>Proven</w:t>
      </w:r>
      <w:r>
        <w:rPr>
          <w:b w:val="0"/>
          <w:i w:val="0"/>
        </w:rPr>
        <w:t xml:space="preserve"> — strong evidence, clear context, current or properly dated, and ready for direct use.</w:t>
      </w:r>
      <w:r>
        <w:br/>
      </w:r>
      <w:r>
        <w:rPr>
          <w:b/>
          <w:i w:val="0"/>
        </w:rPr>
        <w:t>Supported</w:t>
      </w:r>
      <w:r>
        <w:rPr>
          <w:b w:val="0"/>
          <w:i w:val="0"/>
        </w:rPr>
        <w:t xml:space="preserve"> — enough evidence to use carefully, but may need narrower language or more examples.</w:t>
      </w:r>
      <w:r>
        <w:br/>
      </w:r>
      <w:r>
        <w:rPr>
          <w:b/>
          <w:i w:val="0"/>
        </w:rPr>
        <w:t>Emerging</w:t>
      </w:r>
      <w:r>
        <w:rPr>
          <w:b w:val="0"/>
          <w:i w:val="0"/>
        </w:rPr>
        <w:t xml:space="preserve"> — early evidence, learning, or limited practice; should be framed as developing.</w:t>
      </w:r>
      <w:r>
        <w:br/>
      </w:r>
      <w:r>
        <w:rPr>
          <w:b/>
          <w:i w:val="0"/>
        </w:rPr>
        <w:t>Context-dependent</w:t>
      </w:r>
      <w:r>
        <w:rPr>
          <w:b w:val="0"/>
          <w:i w:val="0"/>
        </w:rPr>
        <w:t xml:space="preserve"> — true under specific conditions that should travel with the claim.</w:t>
      </w:r>
      <w:r>
        <w:br/>
      </w:r>
      <w:r>
        <w:rPr>
          <w:b/>
          <w:i w:val="0"/>
        </w:rPr>
        <w:t>Private</w:t>
      </w:r>
      <w:r>
        <w:rPr>
          <w:b w:val="0"/>
          <w:i w:val="0"/>
        </w:rPr>
        <w:t xml:space="preserve"> — true or meaningful, but cannot be shared directly or fully.</w:t>
      </w:r>
      <w:r>
        <w:br/>
      </w:r>
      <w:r>
        <w:rPr>
          <w:b/>
          <w:i w:val="0"/>
        </w:rPr>
        <w:t>Outdated</w:t>
      </w:r>
      <w:r>
        <w:rPr>
          <w:b w:val="0"/>
          <w:i w:val="0"/>
        </w:rPr>
        <w:t xml:space="preserve"> — historically true, but no longer current without qualification.</w:t>
      </w:r>
      <w:r>
        <w:br/>
      </w:r>
      <w:r>
        <w:rPr>
          <w:b/>
          <w:i w:val="0"/>
        </w:rPr>
        <w:t>Needs verification</w:t>
      </w:r>
      <w:r>
        <w:rPr>
          <w:b w:val="0"/>
          <w:i w:val="0"/>
        </w:rPr>
        <w:t xml:space="preserve"> — likely true, but details require confirmation before public use.</w:t>
      </w:r>
      <w:r>
        <w:br/>
      </w:r>
      <w:r>
        <w:rPr>
          <w:b/>
          <w:i w:val="0"/>
        </w:rPr>
        <w:t>Unsupported</w:t>
      </w:r>
      <w:r>
        <w:rPr>
          <w:b w:val="0"/>
          <w:i w:val="0"/>
        </w:rPr>
        <w:t xml:space="preserve"> — not enough evidence; keep private, narrow, or treat as a development goal.</w:t>
      </w:r>
      <w:r>
        <w:br/>
      </w:r>
      <w:r>
        <w:rPr>
          <w:b/>
          <w:i w:val="0"/>
        </w:rPr>
        <w:t>Retired</w:t>
      </w:r>
      <w:r>
        <w:rPr>
          <w:b w:val="0"/>
          <w:i w:val="0"/>
        </w:rPr>
        <w:t xml:space="preserve"> — no longer active in professional surfaces, though it may remain in the record.</w:t>
      </w:r>
    </w:p>
    <w:p>
      <w:pPr>
        <w:keepNext/>
        <w:spacing w:before="0" w:after="60"/>
      </w:pPr>
      <w:r>
        <w:rPr>
          <w:b w:val="0"/>
          <w:i w:val="0"/>
        </w:rPr>
        <w:t>The Claim Status Guide asks:</w:t>
      </w:r>
    </w:p>
    <w:p>
      <w:pPr>
        <w:spacing w:before="0" w:after="120"/>
      </w:pPr>
      <w:r>
        <w:rPr>
          <w:b w:val="0"/>
          <w:i w:val="0"/>
        </w:rPr>
        <w:t>How strongly does the record support this claim right now?</w:t>
      </w:r>
    </w:p>
    <w:p>
      <w:pPr>
        <w:pStyle w:val="Heading2"/>
      </w:pPr>
      <w:r>
        <w:rPr>
          <w:b/>
          <w:i w:val="0"/>
        </w:rPr>
        <w:t>11. Privacy Layer</w:t>
      </w:r>
    </w:p>
    <w:p>
      <w:pPr>
        <w:spacing w:before="0" w:after="120"/>
      </w:pPr>
      <w:r>
        <w:rPr>
          <w:b w:val="0"/>
          <w:i w:val="0"/>
        </w:rPr>
        <w:t>The Privacy Layer governs proof without exposure.</w:t>
      </w:r>
    </w:p>
    <w:p>
      <w:pPr>
        <w:keepNext/>
        <w:spacing w:before="0" w:after="60"/>
      </w:pPr>
      <w:r>
        <w:rPr>
          <w:b w:val="0"/>
          <w:i w:val="0"/>
        </w:rPr>
        <w:t>Common privacy labels include:</w:t>
      </w:r>
    </w:p>
    <w:p>
      <w:pPr>
        <w:spacing w:before="0" w:after="120"/>
      </w:pPr>
      <w:r>
        <w:rPr>
          <w:b/>
          <w:i w:val="0"/>
        </w:rPr>
        <w:t>Public</w:t>
      </w:r>
      <w:r>
        <w:rPr>
          <w:b w:val="0"/>
          <w:i w:val="0"/>
        </w:rPr>
        <w:t xml:space="preserve"> — safe to share or already public.</w:t>
      </w:r>
      <w:r>
        <w:br/>
      </w:r>
      <w:r>
        <w:rPr>
          <w:b/>
          <w:i w:val="0"/>
        </w:rPr>
        <w:t>Shareable with care</w:t>
      </w:r>
      <w:r>
        <w:rPr>
          <w:b w:val="0"/>
          <w:i w:val="0"/>
        </w:rPr>
        <w:t xml:space="preserve"> — usable in certain contexts with limits.</w:t>
      </w:r>
      <w:r>
        <w:br/>
      </w:r>
      <w:r>
        <w:rPr>
          <w:b/>
          <w:i w:val="0"/>
        </w:rPr>
        <w:t>Summary only</w:t>
      </w:r>
      <w:r>
        <w:rPr>
          <w:b w:val="0"/>
          <w:i w:val="0"/>
        </w:rPr>
        <w:t xml:space="preserve"> — underlying material should not be shared; describe generally.</w:t>
      </w:r>
      <w:r>
        <w:br/>
      </w:r>
      <w:r>
        <w:rPr>
          <w:b/>
          <w:i w:val="0"/>
        </w:rPr>
        <w:t>Private</w:t>
      </w:r>
      <w:r>
        <w:rPr>
          <w:b w:val="0"/>
          <w:i w:val="0"/>
        </w:rPr>
        <w:t xml:space="preserve"> — useful for memory and preparation only.</w:t>
      </w:r>
      <w:r>
        <w:br/>
      </w:r>
      <w:r>
        <w:rPr>
          <w:b/>
          <w:i w:val="0"/>
        </w:rPr>
        <w:t>Do not use externally</w:t>
      </w:r>
      <w:r>
        <w:rPr>
          <w:b w:val="0"/>
          <w:i w:val="0"/>
        </w:rPr>
        <w:t xml:space="preserve"> — should not be shared or rendered outside the private record.</w:t>
      </w:r>
    </w:p>
    <w:p>
      <w:pPr>
        <w:keepNext/>
        <w:spacing w:before="0" w:after="60"/>
      </w:pPr>
      <w:r>
        <w:rPr>
          <w:b w:val="0"/>
          <w:i w:val="0"/>
        </w:rPr>
        <w:t>The Privacy Layer asks:</w:t>
      </w:r>
    </w:p>
    <w:p>
      <w:pPr>
        <w:spacing w:before="0" w:after="120"/>
      </w:pPr>
      <w:r>
        <w:rPr>
          <w:b w:val="0"/>
          <w:i w:val="0"/>
        </w:rPr>
        <w:t>How can I preserve professional truth without exposing what should be protected?</w:t>
      </w:r>
    </w:p>
    <w:p>
      <w:pPr>
        <w:pStyle w:val="Heading2"/>
      </w:pPr>
      <w:r>
        <w:rPr>
          <w:b/>
          <w:i w:val="0"/>
        </w:rPr>
        <w:t>12. AI Translation Log</w:t>
      </w:r>
    </w:p>
    <w:p>
      <w:pPr>
        <w:spacing w:before="0" w:after="120"/>
      </w:pPr>
      <w:r>
        <w:rPr>
          <w:b w:val="0"/>
          <w:i w:val="0"/>
        </w:rPr>
        <w:t>The AI Translation Log tracks material AI assistance.</w:t>
      </w:r>
    </w:p>
    <w:p>
      <w:pPr>
        <w:spacing w:before="0" w:after="120"/>
      </w:pPr>
      <w:r>
        <w:rPr>
          <w:b w:val="0"/>
          <w:i w:val="0"/>
        </w:rPr>
        <w:t>It includes date, tool used, purpose, source material provided, surface or record item affected, claim status, privacy status, prompt summary, output accepted or rejected, human corrections, claims checked, and final approved version.</w:t>
      </w:r>
    </w:p>
    <w:p>
      <w:pPr>
        <w:keepNext/>
        <w:spacing w:before="0" w:after="60"/>
      </w:pPr>
      <w:r>
        <w:rPr>
          <w:b w:val="0"/>
          <w:i w:val="0"/>
        </w:rPr>
        <w:t>The AI Translation Log asks:</w:t>
      </w:r>
    </w:p>
    <w:p>
      <w:pPr>
        <w:spacing w:before="0" w:after="120"/>
      </w:pPr>
      <w:r>
        <w:rPr>
          <w:b w:val="0"/>
          <w:i w:val="0"/>
        </w:rPr>
        <w:t>What did AI help produce, from what source, under whose review, and with what relationship to evidence?</w:t>
      </w:r>
    </w:p>
    <w:p>
      <w:pPr>
        <w:spacing w:before="0" w:after="120"/>
      </w:pPr>
      <w:r>
        <w:rPr>
          <w:b w:val="0"/>
          <w:i w:val="0"/>
        </w:rPr>
        <w:t>AI may assist translation. It does not own the record.</w:t>
      </w:r>
    </w:p>
    <w:p>
      <w:pPr>
        <w:pStyle w:val="Heading2"/>
      </w:pPr>
      <w:r>
        <w:rPr>
          <w:b/>
          <w:i w:val="0"/>
        </w:rPr>
        <w:t>13. Renderer</w:t>
      </w:r>
    </w:p>
    <w:p>
      <w:pPr>
        <w:spacing w:before="0" w:after="120"/>
      </w:pPr>
      <w:r>
        <w:rPr>
          <w:b w:val="0"/>
          <w:i w:val="0"/>
        </w:rPr>
        <w:t>The Renderer turns the private source into professional surfaces.</w:t>
      </w:r>
    </w:p>
    <w:p>
      <w:pPr>
        <w:spacing w:before="0" w:after="120"/>
      </w:pPr>
      <w:r>
        <w:rPr>
          <w:b w:val="0"/>
          <w:i w:val="0"/>
        </w:rPr>
        <w:t>Rendered surfaces may include resumes, profiles, bios, interview answers, promotion statements, performance reviews, proposals, portfolios, applications, capability statements, networking introductions, and transition narratives.</w:t>
      </w:r>
    </w:p>
    <w:p>
      <w:pPr>
        <w:keepNext/>
        <w:spacing w:before="0" w:after="60"/>
      </w:pPr>
      <w:r>
        <w:rPr>
          <w:b w:val="0"/>
          <w:i w:val="0"/>
        </w:rPr>
        <w:t>The Renderer asks:</w:t>
      </w:r>
    </w:p>
    <w:p>
      <w:pPr>
        <w:spacing w:before="0" w:after="120"/>
      </w:pPr>
      <w:r>
        <w:rPr>
          <w:b w:val="0"/>
          <w:i w:val="0"/>
        </w:rPr>
        <w:t>What version of this truth belongs here?</w:t>
      </w:r>
    </w:p>
    <w:p>
      <w:pPr>
        <w:spacing w:before="0" w:after="120"/>
      </w:pPr>
      <w:r>
        <w:rPr>
          <w:b w:val="0"/>
          <w:i w:val="0"/>
        </w:rPr>
        <w:t>A rendering should always be accountable to the source. It may be tailored for the audience, but it should not drift from the evidence.</w:t>
      </w:r>
    </w:p>
    <w:p>
      <w:pPr>
        <w:pStyle w:val="Heading1"/>
      </w:pPr>
      <w:r>
        <w:rPr>
          <w:b/>
          <w:i w:val="0"/>
        </w:rPr>
        <w:t>The Basic Flow</w:t>
      </w:r>
    </w:p>
    <w:p>
      <w:pPr>
        <w:spacing w:before="0" w:after="120"/>
      </w:pPr>
      <w:r>
        <w:rPr>
          <w:b w:val="0"/>
          <w:i w:val="0"/>
        </w:rPr>
        <w:t>The Living Professional Record works through a simple flow:</w:t>
      </w:r>
    </w:p>
    <w:p>
      <w:pPr>
        <w:spacing w:before="0" w:after="120"/>
      </w:pPr>
      <w:r>
        <w:rPr>
          <w:b w:val="0"/>
          <w:i w:val="0"/>
        </w:rPr>
        <w:t>Capture evidence.</w:t>
      </w:r>
    </w:p>
    <w:p>
      <w:pPr>
        <w:spacing w:before="0" w:after="120"/>
      </w:pPr>
      <w:r>
        <w:rPr>
          <w:b w:val="0"/>
          <w:i w:val="0"/>
        </w:rPr>
        <w:t>Add context.</w:t>
      </w:r>
    </w:p>
    <w:p>
      <w:pPr>
        <w:spacing w:before="0" w:after="120"/>
      </w:pPr>
      <w:r>
        <w:rPr>
          <w:b w:val="0"/>
          <w:i w:val="0"/>
        </w:rPr>
        <w:t>Record judgment and contribution.</w:t>
      </w:r>
    </w:p>
    <w:p>
      <w:pPr>
        <w:spacing w:before="0" w:after="120"/>
      </w:pPr>
      <w:r>
        <w:rPr>
          <w:b w:val="0"/>
          <w:i w:val="0"/>
        </w:rPr>
        <w:t>Identify witnesses and feedback.</w:t>
      </w:r>
    </w:p>
    <w:p>
      <w:pPr>
        <w:spacing w:before="0" w:after="120"/>
      </w:pPr>
      <w:r>
        <w:rPr>
          <w:b w:val="0"/>
          <w:i w:val="0"/>
        </w:rPr>
        <w:t>Map claims to evidence.</w:t>
      </w:r>
    </w:p>
    <w:p>
      <w:pPr>
        <w:spacing w:before="0" w:after="120"/>
      </w:pPr>
      <w:r>
        <w:rPr>
          <w:b w:val="0"/>
          <w:i w:val="0"/>
        </w:rPr>
        <w:t>Set claim status.</w:t>
      </w:r>
    </w:p>
    <w:p>
      <w:pPr>
        <w:spacing w:before="0" w:after="120"/>
      </w:pPr>
      <w:r>
        <w:rPr>
          <w:b w:val="0"/>
          <w:i w:val="0"/>
        </w:rPr>
        <w:t>Apply privacy boundaries.</w:t>
      </w:r>
    </w:p>
    <w:p>
      <w:pPr>
        <w:spacing w:before="0" w:after="120"/>
      </w:pPr>
      <w:r>
        <w:rPr>
          <w:b w:val="0"/>
          <w:i w:val="0"/>
        </w:rPr>
        <w:t>Use AI only as translator or assistant, where appropriate.</w:t>
      </w:r>
    </w:p>
    <w:p>
      <w:pPr>
        <w:spacing w:before="0" w:after="120"/>
      </w:pPr>
      <w:r>
        <w:rPr>
          <w:b w:val="0"/>
          <w:i w:val="0"/>
        </w:rPr>
        <w:t>Render the surface needed for the moment.</w:t>
      </w:r>
    </w:p>
    <w:p>
      <w:pPr>
        <w:spacing w:before="0" w:after="120"/>
      </w:pPr>
      <w:r>
        <w:rPr>
          <w:b w:val="0"/>
          <w:i w:val="0"/>
        </w:rPr>
        <w:t>Update the record after use.</w:t>
      </w:r>
    </w:p>
    <w:p>
      <w:pPr>
        <w:spacing w:before="0" w:after="120"/>
      </w:pPr>
      <w:r>
        <w:rPr>
          <w:b w:val="0"/>
          <w:i w:val="0"/>
        </w:rPr>
        <w:t>The flow does not always happen in this exact order. Sometimes a resume deadline starts the process. Sometimes a project record comes first. Sometimes a claim exposes an evidence gap. Sometimes a privacy concern forces a safer summary. The architecture is flexible, but the principle remains the same:</w:t>
      </w:r>
    </w:p>
    <w:p>
      <w:pPr>
        <w:spacing w:before="0" w:after="120"/>
      </w:pPr>
      <w:r>
        <w:rPr>
          <w:b w:val="0"/>
          <w:i w:val="0"/>
        </w:rPr>
        <w:t>Source before surface.</w:t>
      </w:r>
    </w:p>
    <w:p>
      <w:pPr>
        <w:pStyle w:val="Heading1"/>
      </w:pPr>
      <w:r>
        <w:rPr>
          <w:b/>
          <w:i w:val="0"/>
        </w:rPr>
        <w:t>Minimum Viable Living Professional Record</w:t>
      </w:r>
    </w:p>
    <w:p>
      <w:pPr>
        <w:spacing w:before="0" w:after="120"/>
      </w:pPr>
      <w:r>
        <w:rPr>
          <w:b w:val="0"/>
          <w:i w:val="0"/>
        </w:rPr>
        <w:t>A first version of the record can be small.</w:t>
      </w:r>
    </w:p>
    <w:p>
      <w:pPr>
        <w:keepNext/>
        <w:spacing w:before="0" w:after="60"/>
      </w:pPr>
      <w:r>
        <w:rPr>
          <w:b w:val="0"/>
          <w:i w:val="0"/>
        </w:rPr>
        <w:t>For one role, project, decision, or claim, capture:</w:t>
      </w:r>
    </w:p>
    <w:p>
      <w:pPr>
        <w:spacing w:before="0" w:after="120"/>
      </w:pPr>
      <w:r>
        <w:rPr>
          <w:b w:val="0"/>
          <w:i w:val="0"/>
        </w:rPr>
        <w:t>What it was.</w:t>
      </w:r>
      <w:r>
        <w:br/>
      </w:r>
      <w:r>
        <w:rPr>
          <w:b w:val="0"/>
          <w:i w:val="0"/>
        </w:rPr>
        <w:t>When it happened.</w:t>
      </w:r>
      <w:r>
        <w:br/>
      </w:r>
      <w:r>
        <w:rPr>
          <w:b w:val="0"/>
          <w:i w:val="0"/>
        </w:rPr>
        <w:t>What your role was.</w:t>
      </w:r>
      <w:r>
        <w:br/>
      </w:r>
      <w:r>
        <w:rPr>
          <w:b w:val="0"/>
          <w:i w:val="0"/>
        </w:rPr>
        <w:t>What evidence exists.</w:t>
      </w:r>
      <w:r>
        <w:br/>
      </w:r>
      <w:r>
        <w:rPr>
          <w:b w:val="0"/>
          <w:i w:val="0"/>
        </w:rPr>
        <w:t>What context matters.</w:t>
      </w:r>
      <w:r>
        <w:br/>
      </w:r>
      <w:r>
        <w:rPr>
          <w:b w:val="0"/>
          <w:i w:val="0"/>
        </w:rPr>
        <w:t>What judgment or contribution it shows.</w:t>
      </w:r>
      <w:r>
        <w:br/>
      </w:r>
      <w:r>
        <w:rPr>
          <w:b w:val="0"/>
          <w:i w:val="0"/>
        </w:rPr>
        <w:t>Who saw it.</w:t>
      </w:r>
      <w:r>
        <w:br/>
      </w:r>
      <w:r>
        <w:rPr>
          <w:b w:val="0"/>
          <w:i w:val="0"/>
        </w:rPr>
        <w:t>What claim it may support.</w:t>
      </w:r>
      <w:r>
        <w:br/>
      </w:r>
      <w:r>
        <w:rPr>
          <w:b w:val="0"/>
          <w:i w:val="0"/>
        </w:rPr>
        <w:t>What privacy limits apply.</w:t>
      </w:r>
      <w:r>
        <w:br/>
      </w:r>
      <w:r>
        <w:rPr>
          <w:b w:val="0"/>
          <w:i w:val="0"/>
        </w:rPr>
        <w:t>Where the source material lives.</w:t>
      </w:r>
      <w:r>
        <w:br/>
      </w:r>
      <w:r>
        <w:rPr>
          <w:b w:val="0"/>
          <w:i w:val="0"/>
        </w:rPr>
        <w:t>What surface it may later render.</w:t>
      </w:r>
    </w:p>
    <w:p>
      <w:pPr>
        <w:spacing w:before="0" w:after="120"/>
      </w:pPr>
      <w:r>
        <w:rPr>
          <w:b w:val="0"/>
          <w:i w:val="0"/>
        </w:rPr>
        <w:t>That is enough to begin.</w:t>
      </w:r>
    </w:p>
    <w:p>
      <w:pPr>
        <w:pStyle w:val="Heading1"/>
      </w:pPr>
      <w:r>
        <w:rPr>
          <w:b/>
          <w:i w:val="0"/>
        </w:rPr>
        <w:t>The Three-Part Source Library</w:t>
      </w:r>
    </w:p>
    <w:p>
      <w:pPr>
        <w:keepNext/>
        <w:spacing w:before="0" w:after="60"/>
      </w:pPr>
      <w:r>
        <w:rPr>
          <w:b w:val="0"/>
          <w:i w:val="0"/>
        </w:rPr>
        <w:t>A simple organizing structure uses three core areas:</w:t>
      </w:r>
    </w:p>
    <w:p>
      <w:pPr>
        <w:pStyle w:val="Heading2"/>
      </w:pPr>
      <w:r>
        <w:rPr>
          <w:b/>
          <w:i w:val="0"/>
        </w:rPr>
        <w:t>01_Source</w:t>
      </w:r>
    </w:p>
    <w:p>
      <w:pPr>
        <w:spacing w:before="0" w:after="120"/>
      </w:pPr>
      <w:r>
        <w:rPr>
          <w:b w:val="0"/>
          <w:i w:val="0"/>
        </w:rPr>
        <w:t>Holds role records, project records, evidence entries, decision logs, contribution records, learning records, witness notes, feedback, credentials, and private summaries.</w:t>
      </w:r>
    </w:p>
    <w:p>
      <w:pPr>
        <w:pStyle w:val="Heading2"/>
      </w:pPr>
      <w:r>
        <w:rPr>
          <w:b/>
          <w:i w:val="0"/>
        </w:rPr>
        <w:t>02_Claims</w:t>
      </w:r>
    </w:p>
    <w:p>
      <w:pPr>
        <w:spacing w:before="0" w:after="120"/>
      </w:pPr>
      <w:r>
        <w:rPr>
          <w:b w:val="0"/>
          <w:i w:val="0"/>
        </w:rPr>
        <w:t>Holds claim maps, claim-status notes, active claims, emerging claims, private claims, retired claims, and claims needing verification.</w:t>
      </w:r>
    </w:p>
    <w:p>
      <w:pPr>
        <w:pStyle w:val="Heading2"/>
      </w:pPr>
      <w:r>
        <w:rPr>
          <w:b/>
          <w:i w:val="0"/>
        </w:rPr>
        <w:t>03_Renderings</w:t>
      </w:r>
    </w:p>
    <w:p>
      <w:pPr>
        <w:spacing w:before="0" w:after="120"/>
      </w:pPr>
      <w:r>
        <w:rPr>
          <w:b w:val="0"/>
          <w:i w:val="0"/>
        </w:rPr>
        <w:t>Holds resumes, profiles, bios, interview stories, promotion materials, proposals, portfolios, applications, and AI-assisted drafts.</w:t>
      </w:r>
    </w:p>
    <w:p>
      <w:pPr>
        <w:keepNext/>
        <w:spacing w:before="0" w:after="60"/>
      </w:pPr>
      <w:r>
        <w:rPr>
          <w:b w:val="0"/>
          <w:i w:val="0"/>
        </w:rPr>
        <w:t>Optional areas may include:</w:t>
      </w:r>
    </w:p>
    <w:p>
      <w:pPr>
        <w:spacing w:before="0" w:after="120"/>
      </w:pPr>
      <w:r>
        <w:rPr>
          <w:b w:val="0"/>
          <w:i w:val="0"/>
        </w:rPr>
        <w:t>04_Privacy_and_Permissions</w:t>
      </w:r>
      <w:r>
        <w:br/>
      </w:r>
      <w:r>
        <w:rPr>
          <w:b w:val="0"/>
          <w:i w:val="0"/>
        </w:rPr>
        <w:t>05_AI_Use_Notes</w:t>
      </w:r>
      <w:r>
        <w:br/>
      </w:r>
      <w:r>
        <w:rPr>
          <w:b w:val="0"/>
          <w:i w:val="0"/>
        </w:rPr>
        <w:t>99_Archive</w:t>
      </w:r>
    </w:p>
    <w:p>
      <w:pPr>
        <w:spacing w:before="0" w:after="120"/>
      </w:pPr>
      <w:r>
        <w:rPr>
          <w:b w:val="0"/>
          <w:i w:val="0"/>
        </w:rPr>
        <w:t>Keep the structure simple enough to use.</w:t>
      </w:r>
    </w:p>
    <w:p>
      <w:pPr>
        <w:pStyle w:val="Heading1"/>
      </w:pPr>
      <w:r>
        <w:rPr>
          <w:b/>
          <w:i w:val="0"/>
        </w:rPr>
        <w:t>The Governing Principles</w:t>
      </w:r>
    </w:p>
    <w:p>
      <w:pPr>
        <w:spacing w:before="0" w:after="120"/>
      </w:pPr>
      <w:r>
        <w:rPr>
          <w:b w:val="0"/>
          <w:i w:val="0"/>
        </w:rPr>
        <w:t>The Living Professional Record should follow five principles.</w:t>
      </w:r>
    </w:p>
    <w:p>
      <w:pPr>
        <w:pStyle w:val="Heading2"/>
      </w:pPr>
      <w:r>
        <w:rPr>
          <w:b/>
          <w:i w:val="0"/>
        </w:rPr>
        <w:t>1. The worker owns the source.</w:t>
      </w:r>
    </w:p>
    <w:p>
      <w:pPr>
        <w:spacing w:before="0" w:after="120"/>
      </w:pPr>
      <w:r>
        <w:rPr>
          <w:b w:val="0"/>
          <w:i w:val="0"/>
        </w:rPr>
        <w:t>The private record belongs to the person whose work it describes.</w:t>
      </w:r>
    </w:p>
    <w:p>
      <w:pPr>
        <w:pStyle w:val="Heading2"/>
      </w:pPr>
      <w:r>
        <w:rPr>
          <w:b/>
          <w:i w:val="0"/>
        </w:rPr>
        <w:t>2. Evidence comes before presentation.</w:t>
      </w:r>
    </w:p>
    <w:p>
      <w:pPr>
        <w:spacing w:before="0" w:after="120"/>
      </w:pPr>
      <w:r>
        <w:rPr>
          <w:b w:val="0"/>
          <w:i w:val="0"/>
        </w:rPr>
        <w:t>The record begins with what happened, what exists, what can be shown, what was learned, and what can be supported.</w:t>
      </w:r>
    </w:p>
    <w:p>
      <w:pPr>
        <w:pStyle w:val="Heading2"/>
      </w:pPr>
      <w:r>
        <w:rPr>
          <w:b/>
          <w:i w:val="0"/>
        </w:rPr>
        <w:t>3. Context is part of the claim.</w:t>
      </w:r>
    </w:p>
    <w:p>
      <w:pPr>
        <w:spacing w:before="0" w:after="120"/>
      </w:pPr>
      <w:r>
        <w:rPr>
          <w:b w:val="0"/>
          <w:i w:val="0"/>
        </w:rPr>
        <w:t>Scope, constraints, stakes, authority, environment, and timing often determine what the evidence means.</w:t>
      </w:r>
    </w:p>
    <w:p>
      <w:pPr>
        <w:pStyle w:val="Heading2"/>
      </w:pPr>
      <w:r>
        <w:rPr>
          <w:b/>
          <w:i w:val="0"/>
        </w:rPr>
        <w:t>4. Privacy is part of truth.</w:t>
      </w:r>
    </w:p>
    <w:p>
      <w:pPr>
        <w:spacing w:before="0" w:after="120"/>
      </w:pPr>
      <w:r>
        <w:rPr>
          <w:b w:val="0"/>
          <w:i w:val="0"/>
        </w:rPr>
        <w:t>Truthful does not mean fully exposed. Some evidence must remain private, summarized, anonymized, withheld, or never used externally.</w:t>
      </w:r>
    </w:p>
    <w:p>
      <w:pPr>
        <w:pStyle w:val="Heading2"/>
      </w:pPr>
      <w:r>
        <w:rPr>
          <w:b/>
          <w:i w:val="0"/>
        </w:rPr>
        <w:t>5. Rendering must remain accountable to the source.</w:t>
      </w:r>
    </w:p>
    <w:p>
      <w:pPr>
        <w:spacing w:before="0" w:after="120"/>
      </w:pPr>
      <w:r>
        <w:rPr>
          <w:b w:val="0"/>
          <w:i w:val="0"/>
        </w:rPr>
        <w:t>Every resume, profile, bio, interview answer, proposal, or AI-assisted draft should remain connected to the underlying evidence.</w:t>
      </w:r>
    </w:p>
    <w:p>
      <w:pPr>
        <w:pStyle w:val="Heading1"/>
      </w:pPr>
      <w:r>
        <w:rPr>
          <w:b/>
          <w:i w:val="0"/>
        </w:rPr>
        <w:t>The Central Question</w:t>
      </w:r>
    </w:p>
    <w:p>
      <w:pPr>
        <w:spacing w:before="0" w:after="120"/>
      </w:pPr>
      <w:r>
        <w:rPr>
          <w:b w:val="0"/>
          <w:i w:val="0"/>
        </w:rPr>
        <w:t>When the record is unclear, return to the central question:</w:t>
      </w:r>
    </w:p>
    <w:p>
      <w:pPr>
        <w:spacing w:before="0" w:after="120"/>
      </w:pPr>
      <w:r>
        <w:rPr>
          <w:b w:val="0"/>
          <w:i w:val="0"/>
        </w:rPr>
        <w:t>Who controls the record that the human is asked to trust?</w:t>
      </w:r>
    </w:p>
    <w:p>
      <w:pPr>
        <w:spacing w:before="0" w:after="120"/>
      </w:pPr>
      <w:r>
        <w:rPr>
          <w:b w:val="0"/>
          <w:i w:val="0"/>
        </w:rPr>
        <w:t>The Living Professional Record is the worker’s answer.</w:t>
      </w:r>
    </w:p>
    <w:p>
      <w:pPr>
        <w:spacing w:before="0" w:after="120"/>
      </w:pPr>
      <w:r>
        <w:rPr>
          <w:b w:val="0"/>
          <w:i w:val="0"/>
        </w:rPr>
        <w:t>It does not control every outside system. It does not promise fair interpretation. It does not make every reader careful or every institution wise. But it gives the worker a governed source beneath the surfaces others may see.</w:t>
      </w:r>
    </w:p>
    <w:p>
      <w:pPr>
        <w:spacing w:before="0" w:after="120"/>
      </w:pPr>
      <w:r>
        <w:rPr>
          <w:b w:val="0"/>
          <w:i w:val="0"/>
        </w:rPr>
        <w:t>That source is the beginning of professional agency in an evidence-shaped world.</w:t>
      </w:r>
    </w:p>
    <w:sectPr w:rsidR="00FC693F" w:rsidRPr="0006063C" w:rsidSect="00034616">
      <w:footerReference w:type="default" r:id="rId9"/>
      <w:pgSz w:w="12240" w:h="15840"/>
      <w:pgMar w:top="1152" w:right="1152" w:bottom="1152" w:left="1152"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b w:val="0"/>
        <w:i w:val="0"/>
        <w:color w:val="5A636E"/>
        <w:sz w:val="18"/>
      </w:rPr>
      <w:t xml:space="preserve">Appendix A: Living Professional Record Architecture at a Glance     |     Page </w:t>
    </w:r>
    <w:r>
      <w:rPr>
        <w:color w:val="5A636E"/>
        <w:sz w:val="18"/>
      </w:rPr>
      <w:fldChar w:fldCharType="begin"/>
    </w:r>
    <w:r>
      <w:rPr>
        <w:color w:val="5A636E"/>
        <w:sz w:val="18"/>
      </w:rPr>
      <w:instrText xml:space="preserve"> PAGE </w:instrText>
    </w:r>
    <w:r>
      <w:rPr>
        <w:color w:val="5A636E"/>
        <w:sz w:val="18"/>
      </w:rPr>
      <w:fldChar w:fldCharType="separate"/>
    </w:r>
    <w:r>
      <w:rPr>
        <w:color w:val="5A636E"/>
        <w:sz w:val="18"/>
      </w:rPr>
      <w:t>1</w:t>
    </w:r>
    <w:r>
      <w:rPr>
        <w:color w:val="5A636E"/>
        <w:sz w:val="18"/>
      </w:rPr>
      <w:fldChar w:fldCharType="end"/>
    </w:r>
    <w:r>
      <w:rPr>
        <w:b w:val="0"/>
        <w:i w:val="0"/>
        <w:color w:val="5A636E"/>
        <w:sz w:val="18"/>
      </w:rPr>
      <w:t xml:space="preserve"> of </w:t>
    </w:r>
    <w:r>
      <w:rPr>
        <w:color w:val="5A636E"/>
        <w:sz w:val="18"/>
      </w:rPr>
      <w:fldChar w:fldCharType="begin"/>
    </w:r>
    <w:r>
      <w:rPr>
        <w:color w:val="5A636E"/>
        <w:sz w:val="18"/>
      </w:rPr>
      <w:instrText xml:space="preserve"> NUMPAGES </w:instrText>
    </w:r>
    <w:r>
      <w:rPr>
        <w:color w:val="5A636E"/>
        <w:sz w:val="18"/>
      </w:rPr>
      <w:fldChar w:fldCharType="separate"/>
    </w:r>
    <w:r>
      <w:rPr>
        <w:color w:val="5A636E"/>
        <w:sz w:val="18"/>
      </w:rPr>
      <w:t>1</w:t>
    </w:r>
    <w:r>
      <w:rPr>
        <w:color w:val="5A636E"/>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1F3A5F"/>
      <w:sz w:val="27"/>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eastAsia="Calibri" w:cs="Calibri"/>
      <w:b/>
      <w:bCs/>
      <w:color w:val="1F2A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eastAsia="Calibri" w:cs="Calibri"/>
      <w:b/>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Professional Record Architecture at a Glance</dc:title>
  <dc:subject>The Living Professional Record, Book III worksheet, Appendix A</dc:subject>
  <dc:creator>Jeffrey Paul Chamberlain</dc:creator>
  <cp:keywords/>
  <dc:description/>
  <cp:lastModifiedBy/>
  <cp:revision>1</cp:revision>
  <dcterms:created xsi:type="dcterms:W3CDTF">2013-12-23T23:15:00Z</dcterms:created>
  <dcterms:modified xsi:type="dcterms:W3CDTF">2013-12-23T23:15:00Z</dcterms:modified>
  <cp:category/>
</cp:coreProperties>
</file>