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rPr>
          <w:b/>
          <w:color w:val="0B2A45"/>
          <w:sz w:val="42"/>
        </w:rPr>
        <w:t>Tool 1A — Evidence Inventory Guide</w:t>
      </w:r>
    </w:p>
    <w:p>
      <w:r>
        <w:rPr>
          <w:i/>
          <w:color w:val="5F6B7A"/>
          <w:sz w:val="22"/>
        </w:rPr>
        <w:t>Find the evidence and measure clues before you render the work</w:t>
      </w:r>
    </w:p>
    <w:p>
      <w:r>
        <w:rPr>
          <w:color w:val="B76535"/>
          <w:sz w:val="18"/>
        </w:rPr>
        <w:t>The Living Professional Record | The Professional Truth Trilogy</w:t>
      </w:r>
    </w:p>
    <w:p/>
    <w:p>
      <w:pPr>
        <w:pStyle w:val="Heading1"/>
        <w:spacing w:before="160" w:after="80"/>
      </w:pPr>
      <w:r>
        <w:t>Tool 1: Evidence Inventory</w:t>
      </w:r>
    </w:p>
    <w:p>
      <w:pPr>
        <w:spacing w:after="80" w:line="259" w:lineRule="auto"/>
      </w:pPr>
      <w:r>
        <w:rPr>
          <w:b/>
          <w:i w:val="0"/>
        </w:rPr>
        <w:t>Use this guide to identify the work products, decisions, outcomes, constraints, witnesses, privacy boundaries, and measure clues that belong in your Living Professional Record.</w:t>
      </w:r>
    </w:p>
    <w:p>
      <w:pPr>
        <w:pStyle w:val="Heading2"/>
        <w:spacing w:before="140" w:after="40"/>
      </w:pPr>
      <w:r>
        <w:t>Core principle</w:t>
      </w:r>
    </w:p>
    <w:p>
      <w:pPr>
        <w:spacing w:after="80" w:line="259" w:lineRule="auto"/>
      </w:pPr>
      <w:r>
        <w:rPr>
          <w:b/>
          <w:i w:val="0"/>
        </w:rPr>
        <w:t>The résumé is a rendering. The record is the source of truth.</w:t>
      </w:r>
    </w:p>
    <w:p>
      <w:pPr>
        <w:spacing w:after="80" w:line="259" w:lineRule="auto"/>
      </w:pPr>
      <w:r>
        <w:rPr>
          <w:b w:val="0"/>
          <w:i w:val="0"/>
        </w:rPr>
        <w:t>A professional rendering becomes stronger when it can trace back to evidence, context, measurable value, and responsible claim boundaries.</w:t>
      </w:r>
    </w:p>
    <w:tbl>
      <w:tblPr>
        <w:tblW w:type="auto" w:w="0"/>
        <w:jc w:val="center"/>
        <w:tblLook w:firstColumn="1" w:firstRow="1" w:lastColumn="0" w:lastRow="0" w:noHBand="0" w:noVBand="1" w:val="04A0"/>
        <w:tblBorders>
          <w:top w:val="single" w:sz="6" w:space="0" w:color="E2D9D0"/>
          <w:left w:val="single" w:sz="6" w:space="0" w:color="E2D9D0"/>
          <w:bottom w:val="single" w:sz="6" w:space="0" w:color="E2D9D0"/>
          <w:right w:val="single" w:sz="6" w:space="0" w:color="E2D9D0"/>
          <w:insideH w:val="single" w:sz="6" w:space="0" w:color="E2D9D0"/>
          <w:insideV w:val="single" w:sz="6" w:space="0" w:color="E2D9D0"/>
        </w:tblBorders>
      </w:tblPr>
      <w:tblGrid>
        <w:gridCol w:w="10368"/>
      </w:tblGrid>
      <w:tr>
        <w:tc>
          <w:tcPr>
            <w:tcW w:type="dxa" w:w="10368"/>
            <w:shd w:fill="F3EEE8"/>
          </w:tcPr>
          <w:p>
            <w:pPr>
              <w:spacing w:after="40"/>
            </w:pPr>
            <w:r>
              <w:rPr>
                <w:b/>
                <w:color w:val="0B2A45"/>
                <w:sz w:val="21"/>
              </w:rPr>
              <w:t>Shared translation standard</w:t>
            </w:r>
          </w:p>
          <w:p>
            <w:pPr>
              <w:spacing w:after="0"/>
            </w:pPr>
            <w:r>
              <w:rPr>
                <w:sz w:val="19"/>
              </w:rPr>
              <w:t>What changed, how much, for whom, under what conditions, and what evidence supports it?</w:t>
            </w:r>
          </w:p>
        </w:tc>
      </w:tr>
    </w:tbl>
    <w:p>
      <w:pPr>
        <w:pStyle w:val="Heading2"/>
        <w:spacing w:before="140" w:after="40"/>
      </w:pPr>
      <w:r>
        <w:t>Where this fits in the Record-to-Rendering Map</w:t>
      </w:r>
    </w:p>
    <w:p>
      <w:pPr>
        <w:spacing w:after="80" w:line="259" w:lineRule="auto"/>
      </w:pPr>
      <w:r>
        <w:rPr>
          <w:b w:val="0"/>
          <w:i w:val="0"/>
        </w:rPr>
        <w:t>Experience → Evidence → Measure Clues → Context → Before/After → Value Pattern → Audience → Rendering → Feedback → Revision</w:t>
      </w:r>
    </w:p>
    <w:p>
      <w:pPr>
        <w:spacing w:after="80" w:line="259" w:lineRule="auto"/>
      </w:pPr>
      <w:r>
        <w:rPr>
          <w:b w:val="0"/>
          <w:i w:val="0"/>
        </w:rPr>
        <w:t>This tool focuses on: Experience → Evidence → Measure Clues.</w:t>
      </w:r>
    </w:p>
    <w:p>
      <w:pPr>
        <w:pStyle w:val="Heading2"/>
        <w:spacing w:before="140" w:after="40"/>
      </w:pPr>
      <w:r>
        <w:t>Privacy and responsible-use note</w:t>
      </w:r>
    </w:p>
    <w:p>
      <w:pPr>
        <w:spacing w:after="80" w:line="259" w:lineRule="auto"/>
      </w:pPr>
      <w:r>
        <w:rPr>
          <w:b/>
        </w:rPr>
        <w:t>Use responsibly.</w:t>
      </w:r>
      <w:r>
        <w:t xml:space="preserve"> These tools are for personal organization and professional reflection. Do not copy, upload, paste, store, or share confidential, proprietary, classified, employer-owned, client-owned, patient, student, coworker, legally restricted, or sensitive personal material in these tools. Use summary-only placeholders when needed. Do not include classified material. Do not paste restricted material into external AI tools unless you are authorized and the tool is approved for that use. Do not publish or share another person's name, contact information, endorsement, or confirming role without permission. These materials are not legal, employment, financial, or career advice.</w:t>
      </w:r>
    </w:p>
    <w:p>
      <w:pPr/>
      <w:r>
        <w:rPr>
          <w:b/>
        </w:rPr>
        <w:t>Claim carefully.</w:t>
      </w:r>
      <w:r>
        <w:t xml:space="preserve"> Measure clues are not permission to invent numbers or overstate results. Use measured, observed, or carefully qualified language. If a number cannot be verified, describe the change more generally and keep the claim within what the record can support.</w:t>
      </w:r>
    </w:p>
    <w:p>
      <w:pPr>
        <w:pStyle w:val="Heading2"/>
        <w:spacing w:before="140" w:after="40"/>
      </w:pPr>
      <w:r>
        <w:t>What this tool helps you do</w:t>
      </w:r>
    </w:p>
    <w:p>
      <w:pPr>
        <w:spacing w:after="80" w:line="259" w:lineRule="auto"/>
      </w:pPr>
      <w:r>
        <w:rPr>
          <w:b w:val="0"/>
          <w:i w:val="0"/>
        </w:rPr>
        <w:t>Most people begin with a résumé because that is what the system asks for first. But a résumé is already compressed. This tool asks you to pause before compression and gather the source material: what happened, what exists, what changed, and what the evidence may support.</w:t>
      </w:r>
    </w:p>
    <w:p>
      <w:pPr>
        <w:pStyle w:val="Heading2"/>
        <w:spacing w:before="140" w:after="40"/>
      </w:pPr>
      <w:r>
        <w:t>Before you begin</w:t>
      </w:r>
    </w:p>
    <w:p>
      <w:pPr>
        <w:spacing w:after="40"/>
        <w:ind w:left="259" w:hanging="173"/>
      </w:pPr>
      <w:r>
        <w:rPr>
          <w:sz w:val="20"/>
        </w:rPr>
        <w:t>• Choose one role, project, season, or body of work.</w:t>
      </w:r>
    </w:p>
    <w:p>
      <w:pPr>
        <w:spacing w:after="40"/>
        <w:ind w:left="259" w:hanging="173"/>
      </w:pPr>
      <w:r>
        <w:rPr>
          <w:sz w:val="20"/>
        </w:rPr>
        <w:t>• Use plain language. Do not try to sound impressive yet.</w:t>
      </w:r>
    </w:p>
    <w:p>
      <w:pPr>
        <w:spacing w:after="40"/>
        <w:ind w:left="259" w:hanging="173"/>
      </w:pPr>
      <w:r>
        <w:rPr>
          <w:sz w:val="20"/>
        </w:rPr>
        <w:t>• Capture both obvious artifacts and less visible decisions, constraints, and outcomes.</w:t>
      </w:r>
    </w:p>
    <w:p>
      <w:pPr>
        <w:spacing w:after="40"/>
        <w:ind w:left="259" w:hanging="173"/>
      </w:pPr>
      <w:r>
        <w:rPr>
          <w:sz w:val="20"/>
        </w:rPr>
        <w:t>• Look for measure clues early so value is not invented later.</w:t>
      </w:r>
    </w:p>
    <w:p>
      <w:pPr>
        <w:spacing w:after="40"/>
        <w:ind w:left="259" w:hanging="173"/>
      </w:pPr>
      <w:r>
        <w:rPr>
          <w:sz w:val="20"/>
        </w:rPr>
        <w:t>• Use safe-use labels before anything becomes public-facing.</w:t>
      </w:r>
    </w:p>
    <w:p>
      <w:pPr>
        <w:pStyle w:val="Heading2"/>
        <w:spacing w:before="140" w:after="40"/>
      </w:pPr>
      <w:r>
        <w:t>What counts as evidence</w:t>
      </w:r>
    </w:p>
    <w:p>
      <w:pPr>
        <w:spacing w:after="40"/>
        <w:ind w:left="259" w:hanging="173"/>
      </w:pPr>
      <w:r>
        <w:rPr>
          <w:sz w:val="20"/>
        </w:rPr>
        <w:t>• Work products: reports, dashboards, briefings, plans, checklists, templates, project artifacts.</w:t>
      </w:r>
    </w:p>
    <w:p>
      <w:pPr>
        <w:spacing w:after="40"/>
        <w:ind w:left="259" w:hanging="173"/>
      </w:pPr>
      <w:r>
        <w:rPr>
          <w:sz w:val="20"/>
        </w:rPr>
        <w:t>• Decisions: judgment calls, tradeoffs, escalations, prioritization, risk choices.</w:t>
      </w:r>
    </w:p>
    <w:p>
      <w:pPr>
        <w:spacing w:after="40"/>
        <w:ind w:left="259" w:hanging="173"/>
      </w:pPr>
      <w:r>
        <w:rPr>
          <w:sz w:val="20"/>
        </w:rPr>
        <w:t>• Outcomes: changes, improvements, prevention, clarification, adoption, use, stability.</w:t>
      </w:r>
    </w:p>
    <w:p>
      <w:pPr>
        <w:spacing w:after="40"/>
        <w:ind w:left="259" w:hanging="173"/>
      </w:pPr>
      <w:r>
        <w:rPr>
          <w:sz w:val="20"/>
        </w:rPr>
        <w:t>• Constraints: time, staff, systems, data, authority, confidentiality, budget, competing priorities.</w:t>
      </w:r>
    </w:p>
    <w:p>
      <w:pPr>
        <w:spacing w:after="40"/>
        <w:ind w:left="259" w:hanging="173"/>
      </w:pPr>
      <w:r>
        <w:rPr>
          <w:sz w:val="20"/>
        </w:rPr>
        <w:t>• Witnesses and feedback: people who saw some part of the work and can confirm it.</w:t>
      </w:r>
    </w:p>
    <w:p>
      <w:pPr>
        <w:pStyle w:val="Heading2"/>
        <w:spacing w:before="140" w:after="40"/>
      </w:pPr>
      <w:r>
        <w:t>Measure clues</w:t>
      </w:r>
    </w:p>
    <w:p>
      <w:pPr>
        <w:spacing w:after="80" w:line="259" w:lineRule="auto"/>
      </w:pPr>
      <w:r>
        <w:rPr>
          <w:b w:val="0"/>
          <w:i w:val="0"/>
        </w:rPr>
        <w:t>Tool 1 should not force final metrics. It should preserve clues that may later become measures of value.</w:t>
      </w:r>
    </w:p>
    <w:p>
      <w:pPr>
        <w:spacing w:after="40"/>
        <w:ind w:left="259" w:hanging="173"/>
      </w:pPr>
      <w:r>
        <w:rPr>
          <w:sz w:val="20"/>
        </w:rPr>
        <w:t>• Volume: how many, how much, how large.</w:t>
      </w:r>
    </w:p>
    <w:p>
      <w:pPr>
        <w:spacing w:after="40"/>
        <w:ind w:left="259" w:hanging="173"/>
      </w:pPr>
      <w:r>
        <w:rPr>
          <w:sz w:val="20"/>
        </w:rPr>
        <w:t>• Frequency or time: how often, how long, how quickly.</w:t>
      </w:r>
    </w:p>
    <w:p>
      <w:pPr>
        <w:spacing w:after="40"/>
        <w:ind w:left="259" w:hanging="173"/>
      </w:pPr>
      <w:r>
        <w:rPr>
          <w:sz w:val="20"/>
        </w:rPr>
        <w:t>• Scope: people, teams, cases, projects, locations, systems, customers, dollars, resources.</w:t>
      </w:r>
    </w:p>
    <w:p>
      <w:pPr>
        <w:spacing w:after="40"/>
        <w:ind w:left="259" w:hanging="173"/>
      </w:pPr>
      <w:r>
        <w:rPr>
          <w:sz w:val="20"/>
        </w:rPr>
        <w:t>• Before/after change: what looked different after the work.</w:t>
      </w:r>
    </w:p>
    <w:p>
      <w:pPr>
        <w:spacing w:after="40"/>
        <w:ind w:left="259" w:hanging="173"/>
      </w:pPr>
      <w:r>
        <w:rPr>
          <w:sz w:val="20"/>
        </w:rPr>
        <w:t>• Adoption or use: who used the work or relied on it.</w:t>
      </w:r>
    </w:p>
    <w:p>
      <w:pPr>
        <w:spacing w:after="40"/>
        <w:ind w:left="259" w:hanging="173"/>
      </w:pPr>
      <w:r>
        <w:rPr>
          <w:sz w:val="20"/>
        </w:rPr>
        <w:t>• Reduction, increase, prevention, improvement, stability, visibility, or decision support.</w:t>
      </w:r>
    </w:p>
    <w:p>
      <w:pPr>
        <w:spacing w:after="40"/>
        <w:ind w:left="259" w:hanging="173"/>
      </w:pPr>
      <w:r>
        <w:rPr>
          <w:sz w:val="20"/>
        </w:rPr>
        <w:t>• Evidence strength: strong, supported, emerging, or needs verification.</w:t>
      </w:r>
    </w:p>
    <w:p>
      <w:pPr>
        <w:pStyle w:val="Heading2"/>
        <w:spacing w:before="140" w:after="40"/>
      </w:pPr>
      <w:r>
        <w:t>Simple example</w:t>
      </w:r>
    </w:p>
    <w:p>
      <w:pPr>
        <w:spacing w:after="80" w:line="259" w:lineRule="auto"/>
      </w:pPr>
      <w:r>
        <w:rPr>
          <w:b w:val="0"/>
          <w:i w:val="0"/>
        </w:rPr>
        <w:t>Scope: New manager onboarding improvement project. Evidence: first-week checklist, revised manager handoff document, shared issue tracker. Measure clues: three locations, recurring handoff questions, checklist used by location managers, fewer repeated questions during first week. Possible claim: I can translate inconsistent operating practices into clear, usable guidance for distributed teams.</w:t>
      </w:r>
    </w:p>
    <w:p>
      <w:pPr>
        <w:pStyle w:val="Heading2"/>
        <w:spacing w:before="140" w:after="40"/>
      </w:pPr>
      <w:r>
        <w:t>Closing note</w:t>
      </w:r>
    </w:p>
    <w:p>
      <w:pPr>
        <w:spacing w:after="80" w:line="259" w:lineRule="auto"/>
      </w:pPr>
      <w:r>
        <w:rPr>
          <w:b w:val="0"/>
          <w:i w:val="0"/>
        </w:rPr>
        <w:t>Tool 1 does not ask you to write the résumé. It asks you to find the record beneath it. The record is the source of truth.</w:t>
      </w:r>
    </w:p>
    <w:p/>
    <w:sectPr w:rsidR="00FC693F" w:rsidRPr="0006063C" w:rsidSect="00034616">
      <w:footerReference w:type="default" r:id="rId9"/>
      <w:pgSz w:w="12240" w:h="15840"/>
      <w:pgMar w:top="936" w:right="936" w:bottom="936"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5F6B7A"/>
        <w:sz w:val="16"/>
      </w:rPr>
      <w:t>Jeffrey Paul Chamberlain | The Living Professional Record companion tools</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Georgia" w:hAnsi="Georgia" w:eastAsia="Georgia"/>
      <w:color w:val="1F2933"/>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eastAsia="Georgia"/>
      <w:b/>
      <w:bCs/>
      <w:color w:val="0B2A45"/>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eastAsia="Georgia"/>
      <w:b/>
      <w:bCs/>
      <w:color w:val="0B2A45"/>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eastAsia="Georgia"/>
      <w:b/>
      <w:bCs/>
      <w:color w:val="0B2A45"/>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Jeffrey Paul Chamberlain</dc:creator>
  <cp:keywords/>
  <dc:description/>
  <cp:lastModifiedBy>Jeffrey Paul Chamberlain</cp:lastModifiedBy>
  <cp:revision>1</cp:revision>
  <dcterms:created xsi:type="dcterms:W3CDTF">2013-12-23T23:15:00Z</dcterms:created>
  <dcterms:modified xsi:type="dcterms:W3CDTF">2013-12-23T23:15:00Z</dcterms:modified>
  <cp:category/>
</cp:coreProperties>
</file>