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1C — Evidence-to-Claim Summary Sheet</w:t>
      </w:r>
    </w:p>
    <w:p>
      <w:r>
        <w:rPr>
          <w:i/>
          <w:color w:val="5F6B7A"/>
          <w:sz w:val="22"/>
        </w:rPr>
        <w:t>Bridge output: carry evidence and measure clues into context reconstruction</w:t>
      </w:r>
    </w:p>
    <w:p>
      <w:r>
        <w:rPr>
          <w:color w:val="B76535"/>
          <w:sz w:val="18"/>
        </w:rPr>
        <w:t>The Living Professional Record | The Professional Truth Trilogy</w:t>
      </w:r>
    </w:p>
    <w:p>
      <w:pPr/>
      <w:r>
        <w:rPr>
          <w:b/>
        </w:rPr>
        <w:t>Responsible-use reminder:</w:t>
      </w:r>
      <w:r>
        <w:t xml:space="preserve">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p/>
    <w:p>
      <w:pPr>
        <w:pStyle w:val="Heading1"/>
        <w:spacing w:before="160" w:after="80"/>
      </w:pPr>
      <w:r>
        <w:t>Purpose</w:t>
      </w:r>
    </w:p>
    <w:p>
      <w:pPr>
        <w:spacing w:after="80" w:line="259" w:lineRule="auto"/>
      </w:pPr>
      <w:r>
        <w:rPr>
          <w:b w:val="0"/>
          <w:i w:val="0"/>
        </w:rPr>
        <w:t>Use this sheet after completing Tool 1B. It summarizes the strongest evidence, measure clues, privacy limits, and possible claims you can carry into Tool 2.</w:t>
      </w:r>
    </w:p>
    <w:p>
      <w:pPr>
        <w:pStyle w:val="Heading2"/>
        <w:spacing w:before="140" w:after="40"/>
      </w:pPr>
      <w:r>
        <w:t>Strongest evidence items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736"/>
            <w:shd w:fill="F7F3EF"/>
          </w:tcPr>
          <w:p>
            <w:r/>
            <w:r>
              <w:rPr>
                <w:b/>
                <w:color w:val="0B2A45"/>
                <w:sz w:val="17"/>
              </w:rPr>
              <w:t>Evidence item</w:t>
            </w:r>
          </w:p>
        </w:tc>
        <w:tc>
          <w:tcPr>
            <w:tcW w:type="dxa" w:w="3600"/>
            <w:shd w:fill="F7F3EF"/>
          </w:tcPr>
          <w:p>
            <w:r/>
            <w:r>
              <w:rPr>
                <w:b/>
                <w:color w:val="0B2A45"/>
                <w:sz w:val="17"/>
              </w:rPr>
              <w:t>Why it matters</w:t>
            </w:r>
          </w:p>
        </w:tc>
        <w:tc>
          <w:tcPr>
            <w:tcW w:type="dxa" w:w="3168"/>
            <w:shd w:fill="F7F3EF"/>
          </w:tcPr>
          <w:p>
            <w:r/>
            <w:r>
              <w:rPr>
                <w:b/>
                <w:color w:val="0B2A45"/>
                <w:sz w:val="17"/>
              </w:rPr>
              <w:t>Measure clue</w:t>
            </w:r>
          </w:p>
        </w:tc>
        <w:tc>
          <w:tcPr>
            <w:tcW w:type="dxa" w:w="2304"/>
            <w:shd w:fill="F7F3EF"/>
          </w:tcPr>
          <w:p>
            <w:r/>
            <w:r>
              <w:rPr>
                <w:b/>
                <w:color w:val="0B2A45"/>
                <w:sz w:val="17"/>
              </w:rPr>
              <w:t>Safe-use label</w:t>
            </w:r>
          </w:p>
        </w:tc>
      </w:tr>
      <w:tr>
        <w:tc>
          <w:tcPr>
            <w:tcW w:type="dxa" w:w="273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273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273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273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273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bl>
    <w:p/>
    <w:p>
      <w:pPr>
        <w:pStyle w:val="Heading2"/>
        <w:spacing w:before="140" w:after="40"/>
      </w:pPr>
      <w:r>
        <w:t>Evidence that needs context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456"/>
        <w:gridCol w:w="3456"/>
        <w:gridCol w:w="3456"/>
      </w:tblGrid>
      <w:tr>
        <w:trPr>
          <w:tblHeader w:val="true"/>
        </w:trPr>
        <w:tc>
          <w:tcPr>
            <w:tcW w:type="dxa" w:w="3024"/>
            <w:shd w:fill="F7F3EF"/>
          </w:tcPr>
          <w:p>
            <w:r/>
            <w:r>
              <w:rPr>
                <w:b/>
                <w:color w:val="0B2A45"/>
                <w:sz w:val="17"/>
              </w:rPr>
              <w:t>Evidence item</w:t>
            </w:r>
          </w:p>
        </w:tc>
        <w:tc>
          <w:tcPr>
            <w:tcW w:type="dxa" w:w="4320"/>
            <w:shd w:fill="F7F3EF"/>
          </w:tcPr>
          <w:p>
            <w:r/>
            <w:r>
              <w:rPr>
                <w:b/>
                <w:color w:val="0B2A45"/>
                <w:sz w:val="17"/>
              </w:rPr>
              <w:t>What someone may misunderstand</w:t>
            </w:r>
          </w:p>
        </w:tc>
        <w:tc>
          <w:tcPr>
            <w:tcW w:type="dxa" w:w="4320"/>
            <w:shd w:fill="F7F3EF"/>
          </w:tcPr>
          <w:p>
            <w:r/>
            <w:r>
              <w:rPr>
                <w:b/>
                <w:color w:val="0B2A45"/>
                <w:sz w:val="17"/>
              </w:rPr>
              <w:t>Context needed</w:t>
            </w:r>
          </w:p>
        </w:tc>
      </w:tr>
      <w:tr>
        <w:tc>
          <w:tcPr>
            <w:tcW w:type="dxa" w:w="3024"/>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3024"/>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3024"/>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r>
        <w:tc>
          <w:tcPr>
            <w:tcW w:type="dxa" w:w="3024"/>
            <w:vAlign w:val="top"/>
          </w:tcPr>
          <w:p>
            <w:r/>
            <w:r>
              <w:rPr>
                <w:b w:val="0"/>
                <w:sz w:val="17"/>
              </w:rPr>
            </w:r>
          </w:p>
        </w:tc>
        <w:tc>
          <w:tcPr>
            <w:tcW w:type="dxa" w:w="4320"/>
            <w:vAlign w:val="top"/>
          </w:tcPr>
          <w:p>
            <w:r/>
            <w:r>
              <w:rPr>
                <w:b w:val="0"/>
                <w:sz w:val="17"/>
              </w:rPr>
            </w:r>
          </w:p>
        </w:tc>
        <w:tc>
          <w:tcPr>
            <w:tcW w:type="dxa" w:w="4320"/>
            <w:vAlign w:val="top"/>
          </w:tcPr>
          <w:p>
            <w:r/>
            <w:r>
              <w:rPr>
                <w:b w:val="0"/>
                <w:sz w:val="17"/>
              </w:rPr>
            </w:r>
          </w:p>
        </w:tc>
      </w:tr>
    </w:tbl>
    <w:p/>
    <w:p>
      <w:pPr>
        <w:pStyle w:val="Heading2"/>
        <w:spacing w:before="140" w:after="40"/>
      </w:pPr>
      <w:r>
        <w:t>Restricted or sensitive evidence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456"/>
        <w:gridCol w:w="3456"/>
        <w:gridCol w:w="3456"/>
      </w:tblGrid>
      <w:tr>
        <w:trPr>
          <w:tblHeader w:val="true"/>
        </w:trPr>
        <w:tc>
          <w:tcPr>
            <w:tcW w:type="dxa" w:w="3168"/>
            <w:shd w:fill="F7F3EF"/>
          </w:tcPr>
          <w:p>
            <w:r/>
            <w:r>
              <w:rPr>
                <w:b/>
                <w:color w:val="0B2A45"/>
                <w:sz w:val="17"/>
              </w:rPr>
              <w:t>Evidence/story</w:t>
            </w:r>
          </w:p>
        </w:tc>
        <w:tc>
          <w:tcPr>
            <w:tcW w:type="dxa" w:w="3456"/>
            <w:shd w:fill="F7F3EF"/>
          </w:tcPr>
          <w:p>
            <w:r/>
            <w:r>
              <w:rPr>
                <w:b/>
                <w:color w:val="0B2A45"/>
                <w:sz w:val="17"/>
              </w:rPr>
              <w:t>Limit</w:t>
            </w:r>
          </w:p>
        </w:tc>
        <w:tc>
          <w:tcPr>
            <w:tcW w:type="dxa" w:w="3744"/>
            <w:shd w:fill="F7F3EF"/>
          </w:tcPr>
          <w:p>
            <w:r/>
            <w:r>
              <w:rPr>
                <w:b/>
                <w:color w:val="0B2A45"/>
                <w:sz w:val="17"/>
              </w:rPr>
              <w:t>Safer use</w:t>
            </w:r>
          </w:p>
        </w:tc>
      </w:tr>
      <w:tr>
        <w:tc>
          <w:tcPr>
            <w:tcW w:type="dxa" w:w="3168"/>
            <w:vAlign w:val="top"/>
          </w:tcPr>
          <w:p>
            <w:r/>
            <w:r>
              <w:rPr>
                <w:b w:val="0"/>
                <w:sz w:val="17"/>
              </w:rPr>
            </w:r>
          </w:p>
        </w:tc>
        <w:tc>
          <w:tcPr>
            <w:tcW w:type="dxa" w:w="3456"/>
            <w:vAlign w:val="top"/>
          </w:tcPr>
          <w:p>
            <w:r/>
            <w:r>
              <w:rPr>
                <w:b w:val="0"/>
                <w:sz w:val="17"/>
              </w:rPr>
            </w:r>
          </w:p>
        </w:tc>
        <w:tc>
          <w:tcPr>
            <w:tcW w:type="dxa" w:w="3744"/>
            <w:vAlign w:val="top"/>
          </w:tcPr>
          <w:p>
            <w:r/>
            <w:r>
              <w:rPr>
                <w:b w:val="0"/>
                <w:sz w:val="17"/>
              </w:rPr>
            </w:r>
          </w:p>
        </w:tc>
      </w:tr>
      <w:tr>
        <w:tc>
          <w:tcPr>
            <w:tcW w:type="dxa" w:w="3168"/>
            <w:vAlign w:val="top"/>
          </w:tcPr>
          <w:p>
            <w:r/>
            <w:r>
              <w:rPr>
                <w:b w:val="0"/>
                <w:sz w:val="17"/>
              </w:rPr>
            </w:r>
          </w:p>
        </w:tc>
        <w:tc>
          <w:tcPr>
            <w:tcW w:type="dxa" w:w="3456"/>
            <w:vAlign w:val="top"/>
          </w:tcPr>
          <w:p>
            <w:r/>
            <w:r>
              <w:rPr>
                <w:b w:val="0"/>
                <w:sz w:val="17"/>
              </w:rPr>
            </w:r>
          </w:p>
        </w:tc>
        <w:tc>
          <w:tcPr>
            <w:tcW w:type="dxa" w:w="3744"/>
            <w:vAlign w:val="top"/>
          </w:tcPr>
          <w:p>
            <w:r/>
            <w:r>
              <w:rPr>
                <w:b w:val="0"/>
                <w:sz w:val="17"/>
              </w:rPr>
            </w:r>
          </w:p>
        </w:tc>
      </w:tr>
      <w:tr>
        <w:tc>
          <w:tcPr>
            <w:tcW w:type="dxa" w:w="3168"/>
            <w:vAlign w:val="top"/>
          </w:tcPr>
          <w:p>
            <w:r/>
            <w:r>
              <w:rPr>
                <w:b w:val="0"/>
                <w:sz w:val="17"/>
              </w:rPr>
            </w:r>
          </w:p>
        </w:tc>
        <w:tc>
          <w:tcPr>
            <w:tcW w:type="dxa" w:w="3456"/>
            <w:vAlign w:val="top"/>
          </w:tcPr>
          <w:p>
            <w:r/>
            <w:r>
              <w:rPr>
                <w:b w:val="0"/>
                <w:sz w:val="17"/>
              </w:rPr>
            </w:r>
          </w:p>
        </w:tc>
        <w:tc>
          <w:tcPr>
            <w:tcW w:type="dxa" w:w="3744"/>
            <w:vAlign w:val="top"/>
          </w:tcPr>
          <w:p>
            <w:r/>
            <w:r>
              <w:rPr>
                <w:b w:val="0"/>
                <w:sz w:val="17"/>
              </w:rPr>
            </w:r>
          </w:p>
        </w:tc>
      </w:tr>
      <w:tr>
        <w:tc>
          <w:tcPr>
            <w:tcW w:type="dxa" w:w="3168"/>
            <w:vAlign w:val="top"/>
          </w:tcPr>
          <w:p>
            <w:r/>
            <w:r>
              <w:rPr>
                <w:b w:val="0"/>
                <w:sz w:val="17"/>
              </w:rPr>
            </w:r>
          </w:p>
        </w:tc>
        <w:tc>
          <w:tcPr>
            <w:tcW w:type="dxa" w:w="3456"/>
            <w:vAlign w:val="top"/>
          </w:tcPr>
          <w:p>
            <w:r/>
            <w:r>
              <w:rPr>
                <w:b w:val="0"/>
                <w:sz w:val="17"/>
              </w:rPr>
            </w:r>
          </w:p>
        </w:tc>
        <w:tc>
          <w:tcPr>
            <w:tcW w:type="dxa" w:w="3744"/>
            <w:vAlign w:val="top"/>
          </w:tcPr>
          <w:p>
            <w:r/>
            <w:r>
              <w:rPr>
                <w:b w:val="0"/>
                <w:sz w:val="17"/>
              </w:rPr>
            </w:r>
          </w:p>
        </w:tc>
      </w:tr>
    </w:tbl>
    <w:p/>
    <w:p>
      <w:pPr>
        <w:pStyle w:val="Heading2"/>
        <w:spacing w:before="140" w:after="40"/>
      </w:pPr>
      <w:r>
        <w:t>Possible professional claims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880"/>
            <w:shd w:fill="F7F3EF"/>
          </w:tcPr>
          <w:p>
            <w:r/>
            <w:r>
              <w:rPr>
                <w:b/>
                <w:color w:val="0B2A45"/>
                <w:sz w:val="17"/>
              </w:rPr>
              <w:t>Possible claim</w:t>
            </w:r>
          </w:p>
        </w:tc>
        <w:tc>
          <w:tcPr>
            <w:tcW w:type="dxa" w:w="3168"/>
            <w:shd w:fill="F7F3EF"/>
          </w:tcPr>
          <w:p>
            <w:r/>
            <w:r>
              <w:rPr>
                <w:b/>
                <w:color w:val="0B2A45"/>
                <w:sz w:val="17"/>
              </w:rPr>
              <w:t>Evidence supporting it</w:t>
            </w:r>
          </w:p>
        </w:tc>
        <w:tc>
          <w:tcPr>
            <w:tcW w:type="dxa" w:w="2592"/>
            <w:shd w:fill="F7F3EF"/>
          </w:tcPr>
          <w:p>
            <w:r/>
            <w:r>
              <w:rPr>
                <w:b/>
                <w:color w:val="0B2A45"/>
                <w:sz w:val="17"/>
              </w:rPr>
              <w:t>Measure clue</w:t>
            </w:r>
          </w:p>
        </w:tc>
        <w:tc>
          <w:tcPr>
            <w:tcW w:type="dxa" w:w="2880"/>
            <w:shd w:fill="F7F3EF"/>
          </w:tcPr>
          <w:p>
            <w:r/>
            <w:r>
              <w:rPr>
                <w:b/>
                <w:color w:val="0B2A45"/>
                <w:sz w:val="17"/>
              </w:rPr>
              <w:t>Boundary or caution</w:t>
            </w:r>
          </w:p>
        </w:tc>
      </w:tr>
      <w:tr>
        <w:tc>
          <w:tcPr>
            <w:tcW w:type="dxa" w:w="2880"/>
            <w:vAlign w:val="top"/>
          </w:tcPr>
          <w:p>
            <w:r/>
            <w:r>
              <w:rPr>
                <w:b w:val="0"/>
                <w:sz w:val="17"/>
              </w:rPr>
            </w:r>
          </w:p>
        </w:tc>
        <w:tc>
          <w:tcPr>
            <w:tcW w:type="dxa" w:w="3168"/>
            <w:vAlign w:val="top"/>
          </w:tcPr>
          <w:p>
            <w:r/>
            <w:r>
              <w:rPr>
                <w:b w:val="0"/>
                <w:sz w:val="17"/>
              </w:rPr>
            </w:r>
          </w:p>
        </w:tc>
        <w:tc>
          <w:tcPr>
            <w:tcW w:type="dxa" w:w="2592"/>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3168"/>
            <w:vAlign w:val="top"/>
          </w:tcPr>
          <w:p>
            <w:r/>
            <w:r>
              <w:rPr>
                <w:b w:val="0"/>
                <w:sz w:val="17"/>
              </w:rPr>
            </w:r>
          </w:p>
        </w:tc>
        <w:tc>
          <w:tcPr>
            <w:tcW w:type="dxa" w:w="2592"/>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3168"/>
            <w:vAlign w:val="top"/>
          </w:tcPr>
          <w:p>
            <w:r/>
            <w:r>
              <w:rPr>
                <w:b w:val="0"/>
                <w:sz w:val="17"/>
              </w:rPr>
            </w:r>
          </w:p>
        </w:tc>
        <w:tc>
          <w:tcPr>
            <w:tcW w:type="dxa" w:w="2592"/>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3168"/>
            <w:vAlign w:val="top"/>
          </w:tcPr>
          <w:p>
            <w:r/>
            <w:r>
              <w:rPr>
                <w:b w:val="0"/>
                <w:sz w:val="17"/>
              </w:rPr>
            </w:r>
          </w:p>
        </w:tc>
        <w:tc>
          <w:tcPr>
            <w:tcW w:type="dxa" w:w="2592"/>
            <w:vAlign w:val="top"/>
          </w:tcPr>
          <w:p>
            <w:r/>
            <w:r>
              <w:rPr>
                <w:b w:val="0"/>
                <w:sz w:val="17"/>
              </w:rPr>
            </w:r>
          </w:p>
        </w:tc>
        <w:tc>
          <w:tcPr>
            <w:tcW w:type="dxa" w:w="2880"/>
            <w:vAlign w:val="top"/>
          </w:tcPr>
          <w:p>
            <w:r/>
            <w:r>
              <w:rPr>
                <w:b w:val="0"/>
                <w:sz w:val="17"/>
              </w:rPr>
            </w:r>
          </w:p>
        </w:tc>
      </w:tr>
    </w:tbl>
    <w:p/>
    <w:p>
      <w:pPr>
        <w:pStyle w:val="Heading2"/>
        <w:spacing w:before="140" w:after="40"/>
      </w:pPr>
      <w:r>
        <w:t>Carry-forward to Tool 2</w:t>
      </w:r>
    </w:p>
    <w:p>
      <w:r>
        <w:rPr>
          <w:b/>
          <w:color w:val="0B2A45"/>
        </w:rPr>
        <w:t>Evidence item I will reconstruct first:</w:t>
      </w:r>
    </w:p>
    <w:p>
      <w:pPr>
        <w:spacing w:after="20"/>
      </w:pPr>
      <w:r>
        <w:t>____________________________________________________________</w:t>
      </w:r>
    </w:p>
    <w:p>
      <w:r>
        <w:rPr>
          <w:b/>
          <w:color w:val="0B2A45"/>
        </w:rPr>
        <w:t>What changed, how much, for whom, under what conditions, and what evidence supports it?</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