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b/>
          <w:color w:val="0B2A45"/>
          <w:sz w:val="42"/>
        </w:rPr>
        <w:t>Tool 1 — Evidence Inventory Kit Index</w:t>
      </w:r>
    </w:p>
    <w:p>
      <w:r>
        <w:rPr>
          <w:i/>
          <w:color w:val="5F6B7A"/>
          <w:sz w:val="22"/>
        </w:rPr>
        <w:t>Regenerated with measure-clue upgrades</w:t>
      </w:r>
    </w:p>
    <w:p>
      <w:r>
        <w:rPr>
          <w:color w:val="B76535"/>
          <w:sz w:val="18"/>
        </w:rPr>
        <w:t>The Living Professional Record | The Professional Truth Trilogy</w:t>
      </w:r>
    </w:p>
    <w:p>
      <w:pPr/>
      <w:r>
        <w:rPr>
          <w:b/>
        </w:rPr>
        <w:t>Use responsibly.</w:t>
      </w:r>
      <w:r>
        <w:t xml:space="preserve"> Do not copy, upload, paste, store, or share restricted or sensitive material in these tools; use summary-only placeholders when needed. Do not paste restricted material into external AI tools unless authorized and approved. Do not publish names, contact information, endorsements, or confirming roles without permission. Do not invent numbers or overstate results.</w:t>
      </w:r>
    </w:p>
    <w:p/>
    <w:p>
      <w:pPr>
        <w:pStyle w:val="Heading1"/>
        <w:spacing w:before="160" w:after="80"/>
      </w:pPr>
      <w:r>
        <w:t>Files in this kit</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5184"/>
        <w:gridCol w:w="5184"/>
      </w:tblGrid>
      <w:tr>
        <w:trPr>
          <w:tblHeader w:val="true"/>
        </w:trPr>
        <w:tc>
          <w:tcPr>
            <w:tcW w:type="dxa" w:w="4608"/>
            <w:shd w:fill="F7F3EF"/>
          </w:tcPr>
          <w:p>
            <w:r/>
            <w:r>
              <w:rPr>
                <w:b/>
                <w:color w:val="0B2A45"/>
                <w:sz w:val="17"/>
              </w:rPr>
              <w:t>File</w:t>
            </w:r>
          </w:p>
        </w:tc>
        <w:tc>
          <w:tcPr>
            <w:tcW w:type="dxa" w:w="6048"/>
            <w:shd w:fill="F7F3EF"/>
          </w:tcPr>
          <w:p>
            <w:r/>
            <w:r>
              <w:rPr>
                <w:b/>
                <w:color w:val="0B2A45"/>
                <w:sz w:val="17"/>
              </w:rPr>
              <w:t>Use it when you need to...</w:t>
            </w:r>
          </w:p>
        </w:tc>
      </w:tr>
      <w:tr>
        <w:tc>
          <w:tcPr>
            <w:tcW w:type="dxa" w:w="4608"/>
            <w:vAlign w:val="top"/>
          </w:tcPr>
          <w:p>
            <w:r/>
            <w:r>
              <w:rPr>
                <w:b w:val="0"/>
                <w:sz w:val="17"/>
              </w:rPr>
              <w:t>Tool_1A_Evidence_Inventory_Guide_v2.docx</w:t>
            </w:r>
          </w:p>
        </w:tc>
        <w:tc>
          <w:tcPr>
            <w:tcW w:type="dxa" w:w="6048"/>
            <w:vAlign w:val="top"/>
          </w:tcPr>
          <w:p>
            <w:r/>
            <w:r>
              <w:rPr>
                <w:b w:val="0"/>
                <w:sz w:val="17"/>
              </w:rPr>
              <w:t>Understand the purpose, logic, privacy boundaries, and measure-clue standard.</w:t>
            </w:r>
          </w:p>
        </w:tc>
      </w:tr>
      <w:tr>
        <w:tc>
          <w:tcPr>
            <w:tcW w:type="dxa" w:w="4608"/>
            <w:vAlign w:val="top"/>
          </w:tcPr>
          <w:p>
            <w:r/>
            <w:r>
              <w:rPr>
                <w:b w:val="0"/>
                <w:sz w:val="17"/>
              </w:rPr>
              <w:t>Tool_1B_Evidence_Inventory_Worksheet_Form_v2.docx</w:t>
            </w:r>
          </w:p>
        </w:tc>
        <w:tc>
          <w:tcPr>
            <w:tcW w:type="dxa" w:w="6048"/>
            <w:vAlign w:val="top"/>
          </w:tcPr>
          <w:p>
            <w:r/>
            <w:r>
              <w:rPr>
                <w:b w:val="0"/>
                <w:sz w:val="17"/>
              </w:rPr>
              <w:t>Type directly into a clean evidence inventory form.</w:t>
            </w:r>
          </w:p>
        </w:tc>
      </w:tr>
      <w:tr>
        <w:tc>
          <w:tcPr>
            <w:tcW w:type="dxa" w:w="4608"/>
            <w:vAlign w:val="top"/>
          </w:tcPr>
          <w:p>
            <w:r/>
            <w:r>
              <w:rPr>
                <w:b w:val="0"/>
                <w:sz w:val="17"/>
              </w:rPr>
              <w:t>Tool_1C_Evidence_to_Claim_Summary_Sheet_v2.docx</w:t>
            </w:r>
          </w:p>
        </w:tc>
        <w:tc>
          <w:tcPr>
            <w:tcW w:type="dxa" w:w="6048"/>
            <w:vAlign w:val="top"/>
          </w:tcPr>
          <w:p>
            <w:r/>
            <w:r>
              <w:rPr>
                <w:b w:val="0"/>
                <w:sz w:val="17"/>
              </w:rPr>
              <w:t>Carry strongest evidence, measure clues, and claim boundaries into Tool 2.</w:t>
            </w:r>
          </w:p>
        </w:tc>
      </w:tr>
    </w:tbl>
    <w:p/>
    <w:p>
      <w:pPr>
        <w:pStyle w:val="Heading2"/>
        <w:spacing w:before="140" w:after="40"/>
      </w:pPr>
      <w:r>
        <w:t>Recommended sequence</w:t>
      </w:r>
    </w:p>
    <w:p>
      <w:pPr>
        <w:spacing w:after="40"/>
        <w:ind w:left="317" w:hanging="259"/>
      </w:pPr>
      <w:r>
        <w:rPr>
          <w:sz w:val="20"/>
        </w:rPr>
        <w:t>1. Read Tool 1A once.</w:t>
      </w:r>
    </w:p>
    <w:p>
      <w:pPr>
        <w:spacing w:after="40"/>
        <w:ind w:left="317" w:hanging="259"/>
      </w:pPr>
      <w:r>
        <w:rPr>
          <w:sz w:val="20"/>
        </w:rPr>
        <w:t>2. Complete Tool 1B for one role, project, season, or body of work.</w:t>
      </w:r>
    </w:p>
    <w:p>
      <w:pPr>
        <w:spacing w:after="40"/>
        <w:ind w:left="317" w:hanging="259"/>
      </w:pPr>
      <w:r>
        <w:rPr>
          <w:sz w:val="20"/>
        </w:rPr>
        <w:t>3. Use Tool 1C to choose which evidence moves into Tool 2.</w:t>
      </w:r>
    </w:p>
    <w:p/>
    <w:sectPr w:rsidR="00FC693F" w:rsidRPr="0006063C" w:rsidSect="00034616">
      <w:footerReference w:type="default" r:id="rId9"/>
      <w:pgSz w:w="12240" w:h="15840"/>
      <w:pgMar w:top="936" w:right="936" w:bottom="936"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5F6B7A"/>
        <w:sz w:val="16"/>
      </w:rPr>
      <w:t>Jeffrey Paul Chamberlain | The Living Professional Record companion tools</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Georgia" w:hAnsi="Georgia" w:eastAsia="Georgia"/>
      <w:color w:val="1F2933"/>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eastAsia="Georgia"/>
      <w:b/>
      <w:bCs/>
      <w:color w:val="0B2A45"/>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eastAsia="Georgia"/>
      <w:b/>
      <w:bCs/>
      <w:color w:val="0B2A45"/>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eastAsia="Georgia"/>
      <w:b/>
      <w:bCs/>
      <w:color w:val="0B2A45"/>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Jeffrey Paul Chamberlain</dc:creator>
  <cp:keywords/>
  <dc:description/>
  <cp:lastModifiedBy>Jeffrey Paul Chamberlain</cp:lastModifiedBy>
  <cp:revision>1</cp:revision>
  <dcterms:created xsi:type="dcterms:W3CDTF">2013-12-23T23:15:00Z</dcterms:created>
  <dcterms:modified xsi:type="dcterms:W3CDTF">2013-12-23T23:15:00Z</dcterms:modified>
  <cp:category/>
</cp:coreProperties>
</file>