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2A — Context Reconstruction Guide</w:t>
      </w:r>
    </w:p>
    <w:p>
      <w:r>
        <w:rPr>
          <w:i/>
          <w:color w:val="5F6B7A"/>
          <w:sz w:val="22"/>
        </w:rPr>
        <w:t>Reconstruct before, after, difference, and meaning</w:t>
      </w:r>
    </w:p>
    <w:p>
      <w:r>
        <w:rPr>
          <w:color w:val="B76535"/>
          <w:sz w:val="18"/>
        </w:rPr>
        <w:t>The Living Professional Record | The Professional Truth Trilogy</w:t>
      </w:r>
    </w:p>
    <w:p/>
    <w:p>
      <w:pPr>
        <w:pStyle w:val="Heading1"/>
        <w:spacing w:before="160" w:after="80"/>
      </w:pPr>
      <w:r>
        <w:t>Tool 2: Context Reconstruction</w:t>
      </w:r>
    </w:p>
    <w:p>
      <w:pPr>
        <w:spacing w:after="80" w:line="259" w:lineRule="auto"/>
      </w:pPr>
      <w:r>
        <w:rPr>
          <w:b/>
          <w:i w:val="0"/>
        </w:rPr>
        <w:t>Use this guide to reconstruct the situation around a selected evidence item so the evidence can be interpreted fairly and responsibly.</w:t>
      </w:r>
    </w:p>
    <w:p>
      <w:pPr>
        <w:pStyle w:val="Heading2"/>
        <w:spacing w:before="140" w:after="40"/>
      </w:pPr>
      <w:r>
        <w:t>Core principle</w:t>
      </w:r>
    </w:p>
    <w:p>
      <w:pPr>
        <w:spacing w:after="80" w:line="259" w:lineRule="auto"/>
      </w:pPr>
      <w:r>
        <w:rPr>
          <w:b/>
          <w:i w:val="0"/>
        </w:rPr>
        <w:t>The résumé is a rendering. The record is the source of truth.</w:t>
      </w:r>
    </w:p>
    <w:p>
      <w:pPr>
        <w:spacing w:after="80" w:line="259" w:lineRule="auto"/>
      </w:pPr>
      <w:r>
        <w:rPr>
          <w:b w:val="0"/>
          <w:i w:val="0"/>
        </w:rPr>
        <w:t>A professional rendering becomes stronger when it can trace back to evidence, context, measurable value, and responsible claim boundaries.</w:t>
      </w:r>
    </w:p>
    <w:tbl>
      <w:tblPr>
        <w:tblW w:type="auto" w:w="0"/>
        <w:jc w:val="center"/>
        <w:tblLook w:firstColumn="1" w:firstRow="1" w:lastColumn="0" w:lastRow="0" w:noHBand="0" w:noVBand="1" w:val="04A0"/>
        <w:tblBorders>
          <w:top w:val="single" w:sz="6" w:space="0" w:color="E2D9D0"/>
          <w:left w:val="single" w:sz="6" w:space="0" w:color="E2D9D0"/>
          <w:bottom w:val="single" w:sz="6" w:space="0" w:color="E2D9D0"/>
          <w:right w:val="single" w:sz="6" w:space="0" w:color="E2D9D0"/>
          <w:insideH w:val="single" w:sz="6" w:space="0" w:color="E2D9D0"/>
          <w:insideV w:val="single" w:sz="6" w:space="0" w:color="E2D9D0"/>
        </w:tblBorders>
      </w:tblPr>
      <w:tblGrid>
        <w:gridCol w:w="10368"/>
      </w:tblGrid>
      <w:tr>
        <w:tc>
          <w:tcPr>
            <w:tcW w:type="dxa" w:w="10368"/>
            <w:shd w:fill="F3EEE8"/>
          </w:tcPr>
          <w:p>
            <w:pPr>
              <w:spacing w:after="40"/>
            </w:pPr>
            <w:r>
              <w:rPr>
                <w:b/>
                <w:color w:val="0B2A45"/>
                <w:sz w:val="21"/>
              </w:rPr>
              <w:t>Shared translation standard</w:t>
            </w:r>
          </w:p>
          <w:p>
            <w:pPr>
              <w:spacing w:after="0"/>
            </w:pPr>
            <w:r>
              <w:rPr>
                <w:sz w:val="19"/>
              </w:rPr>
              <w:t>What changed, how much, for whom, under what conditions, and what evidence supports it?</w:t>
            </w:r>
          </w:p>
        </w:tc>
      </w:tr>
    </w:tbl>
    <w:p>
      <w:pPr>
        <w:pStyle w:val="Heading2"/>
        <w:spacing w:before="140" w:after="40"/>
      </w:pPr>
      <w:r>
        <w:t>Where this fits in the Record-to-Rendering Map</w:t>
      </w:r>
    </w:p>
    <w:p>
      <w:pPr>
        <w:spacing w:after="80" w:line="259" w:lineRule="auto"/>
      </w:pPr>
      <w:r>
        <w:rPr>
          <w:b w:val="0"/>
          <w:i w:val="0"/>
        </w:rPr>
        <w:t>Experience → Evidence → Measure Clues → Context → Before/After → Value Pattern → Audience → Rendering → Feedback → Revision</w:t>
      </w:r>
    </w:p>
    <w:p>
      <w:pPr>
        <w:spacing w:after="80" w:line="259" w:lineRule="auto"/>
      </w:pPr>
      <w:r>
        <w:rPr>
          <w:b w:val="0"/>
          <w:i w:val="0"/>
        </w:rPr>
        <w:t>This tool focuses on: Evidence → Measure Clues → Context → Before/After.</w:t>
      </w:r>
    </w:p>
    <w:p>
      <w:pPr>
        <w:pStyle w:val="Heading2"/>
        <w:spacing w:before="140" w:after="40"/>
      </w:pPr>
      <w:r>
        <w:t>Privacy and responsible-use note</w:t>
      </w:r>
    </w:p>
    <w:p>
      <w:pPr>
        <w:spacing w:after="80" w:line="259" w:lineRule="auto"/>
      </w:pPr>
      <w:r>
        <w:rPr>
          <w:b/>
        </w:rPr>
        <w:t>Use responsibly.</w:t>
      </w:r>
      <w:r>
        <w:t xml:space="preserve"> These tools are for personal organization and professional reflection. Do not copy, upload, paste, store, or share confidential, proprietary, classified, employer-owned, client-owned, patient, student, coworker, legally restricted, or sensitive personal material in these tools. Use summary-only placeholders when needed. Do not include classified material. Do not paste restricted material into external AI tools unless you are authorized and the tool is approved for that use. Do not publish or share another person's name, contact information, endorsement, or confirming role without permission. These materials are not legal, employment, financial, or career advice.</w:t>
      </w:r>
    </w:p>
    <w:p>
      <w:pPr/>
      <w:r>
        <w:rPr>
          <w:b/>
        </w:rPr>
        <w:t>Claim carefully.</w:t>
      </w:r>
      <w:r>
        <w:t xml:space="preserve"> Measure clues are not permission to invent numbers or overstate results. Use measured, observed, or carefully qualified language. If a number cannot be verified, describe the change more generally and keep the claim within what the record can support.</w:t>
      </w:r>
    </w:p>
    <w:p>
      <w:pPr>
        <w:pStyle w:val="Heading2"/>
        <w:spacing w:before="140" w:after="40"/>
      </w:pPr>
      <w:r>
        <w:t>What context means here</w:t>
      </w:r>
    </w:p>
    <w:p>
      <w:pPr>
        <w:spacing w:after="80" w:line="259" w:lineRule="auto"/>
      </w:pPr>
      <w:r>
        <w:rPr>
          <w:b w:val="0"/>
          <w:i w:val="0"/>
        </w:rPr>
        <w:t>Context is the situation that makes evidence meaningful. It includes what was happening, what role you played, what constraints shaped the work, what decisions mattered, what tradeoffs existed, what changed, and what the evidence does and does not prove.</w:t>
      </w:r>
    </w:p>
    <w:p>
      <w:pPr>
        <w:pStyle w:val="Heading2"/>
        <w:spacing w:before="140" w:after="40"/>
      </w:pPr>
      <w:r>
        <w:t>Before / After / Difference</w:t>
      </w:r>
    </w:p>
    <w:p>
      <w:pPr>
        <w:spacing w:after="80" w:line="259" w:lineRule="auto"/>
      </w:pPr>
      <w:r>
        <w:rPr>
          <w:b w:val="0"/>
          <w:i w:val="0"/>
        </w:rPr>
        <w:t>Tool 2 makes change harder to miss. The record should preserve the state before the work, the state after the work, the difference between them, and the evidence supporting the difference.</w:t>
      </w:r>
    </w:p>
    <w:p>
      <w:pPr>
        <w:spacing w:after="40"/>
        <w:ind w:left="259" w:hanging="173"/>
      </w:pPr>
      <w:r>
        <w:rPr>
          <w:sz w:val="20"/>
        </w:rPr>
        <w:t>• Before this work, the situation looked like...</w:t>
      </w:r>
    </w:p>
    <w:p>
      <w:pPr>
        <w:spacing w:after="40"/>
        <w:ind w:left="259" w:hanging="173"/>
      </w:pPr>
      <w:r>
        <w:rPr>
          <w:sz w:val="20"/>
        </w:rPr>
        <w:t>• After this work, the situation looked like...</w:t>
      </w:r>
    </w:p>
    <w:p>
      <w:pPr>
        <w:spacing w:after="40"/>
        <w:ind w:left="259" w:hanging="173"/>
      </w:pPr>
      <w:r>
        <w:rPr>
          <w:sz w:val="20"/>
        </w:rPr>
        <w:t>• The difference was...</w:t>
      </w:r>
    </w:p>
    <w:p>
      <w:pPr>
        <w:spacing w:after="40"/>
        <w:ind w:left="259" w:hanging="173"/>
      </w:pPr>
      <w:r>
        <w:rPr>
          <w:sz w:val="20"/>
        </w:rPr>
        <w:t>• The measure, if known, was...</w:t>
      </w:r>
    </w:p>
    <w:p>
      <w:pPr>
        <w:spacing w:after="40"/>
        <w:ind w:left="259" w:hanging="173"/>
      </w:pPr>
      <w:r>
        <w:rPr>
          <w:sz w:val="20"/>
        </w:rPr>
        <w:t>• The measure, if not exact, can be described as...</w:t>
      </w:r>
    </w:p>
    <w:p>
      <w:pPr>
        <w:spacing w:after="40"/>
        <w:ind w:left="259" w:hanging="173"/>
      </w:pPr>
      <w:r>
        <w:rPr>
          <w:sz w:val="20"/>
        </w:rPr>
        <w:t>• Who noticed, used, relied on, or benefited from the change?</w:t>
      </w:r>
    </w:p>
    <w:p>
      <w:pPr>
        <w:spacing w:after="40"/>
        <w:ind w:left="259" w:hanging="173"/>
      </w:pPr>
      <w:r>
        <w:rPr>
          <w:sz w:val="20"/>
        </w:rPr>
        <w:t>• What evidence supports that change?</w:t>
      </w:r>
    </w:p>
    <w:p>
      <w:pPr>
        <w:pStyle w:val="Heading2"/>
        <w:spacing w:before="140" w:after="40"/>
      </w:pPr>
      <w:r>
        <w:t>Claim boundaries</w:t>
      </w:r>
    </w:p>
    <w:p>
      <w:pPr>
        <w:spacing w:after="80" w:line="259" w:lineRule="auto"/>
      </w:pPr>
      <w:r>
        <w:rPr>
          <w:b w:val="0"/>
          <w:i w:val="0"/>
        </w:rPr>
        <w:t>A Context Brief should help prevent overclaiming. It should say what the evidence supports and what it does not support. A responsible rendering later depends on those boundaries.</w:t>
      </w:r>
    </w:p>
    <w:p>
      <w:pPr>
        <w:pStyle w:val="Heading2"/>
        <w:spacing w:before="140" w:after="40"/>
      </w:pPr>
      <w:r>
        <w:t>Simple example</w:t>
      </w:r>
    </w:p>
    <w:p>
      <w:pPr>
        <w:spacing w:after="80" w:line="259" w:lineRule="auto"/>
      </w:pPr>
      <w:r>
        <w:rPr>
          <w:b w:val="0"/>
          <w:i w:val="0"/>
        </w:rPr>
        <w:t>Evidence item: First-week onboarding checklist. Before: managers handled onboarding from memory and local habit. After: first-week responsibilities were visible in one shared checklist. Difference: repeated handoff questions decreased and location managers had a common reference. Boundary: this evidence supports clarity and repeatability; it does not prove all onboarding problems were solved.</w:t>
      </w:r>
    </w:p>
    <w:p>
      <w:pPr>
        <w:pStyle w:val="Heading2"/>
        <w:spacing w:before="140" w:after="40"/>
      </w:pPr>
      <w:r>
        <w:t>Closing note</w:t>
      </w:r>
    </w:p>
    <w:p>
      <w:pPr>
        <w:spacing w:after="80" w:line="259" w:lineRule="auto"/>
      </w:pPr>
      <w:r>
        <w:rPr>
          <w:b w:val="0"/>
          <w:i w:val="0"/>
        </w:rPr>
        <w:t>Context is where evidence becomes intelligible. It protects the record from both understatement and overstatement.</w:t>
      </w:r>
    </w:p>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