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2 — Context Reconstruction Kit Index</w:t>
      </w:r>
    </w:p>
    <w:p>
      <w:r>
        <w:rPr>
          <w:i/>
          <w:color w:val="5F6B7A"/>
          <w:sz w:val="22"/>
        </w:rPr>
        <w:t>Regenerated with before/after and claim-boundary upgrades</w:t>
      </w:r>
    </w:p>
    <w:p>
      <w:r>
        <w:rPr>
          <w:color w:val="B76535"/>
          <w:sz w:val="18"/>
        </w:rPr>
        <w:t>The Living Professional Record | The Professional Truth Trilogy</w:t>
      </w:r>
    </w:p>
    <w:p>
      <w:pPr/>
      <w:r>
        <w:rPr>
          <w:b/>
        </w:rPr>
        <w:t>Use responsibly.</w:t>
      </w:r>
      <w:r>
        <w:t xml:space="preserve"> Do not copy, upload, paste, store, or share restricted or sensitive material in these tools; use summary-only placeholders when needed. Do not paste restricted material into external AI tools unless authorized and approved. Do not publish names, contact information, endorsements, or confirming roles without permission. Do not invent numbers or overstate results.</w:t>
      </w:r>
    </w:p>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4608"/>
            <w:shd w:fill="F7F3EF"/>
          </w:tcPr>
          <w:p>
            <w:r/>
            <w:r>
              <w:rPr>
                <w:b/>
                <w:color w:val="0B2A45"/>
                <w:sz w:val="17"/>
              </w:rPr>
              <w:t>File</w:t>
            </w:r>
          </w:p>
        </w:tc>
        <w:tc>
          <w:tcPr>
            <w:tcW w:type="dxa" w:w="6048"/>
            <w:shd w:fill="F7F3EF"/>
          </w:tcPr>
          <w:p>
            <w:r/>
            <w:r>
              <w:rPr>
                <w:b/>
                <w:color w:val="0B2A45"/>
                <w:sz w:val="17"/>
              </w:rPr>
              <w:t>Use it when you need to...</w:t>
            </w:r>
          </w:p>
        </w:tc>
      </w:tr>
      <w:tr>
        <w:tc>
          <w:tcPr>
            <w:tcW w:type="dxa" w:w="4608"/>
            <w:vAlign w:val="top"/>
          </w:tcPr>
          <w:p>
            <w:r/>
            <w:r>
              <w:rPr>
                <w:b w:val="0"/>
                <w:sz w:val="17"/>
              </w:rPr>
              <w:t>Tool_2A_Context_Reconstruction_Guide_v2.docx</w:t>
            </w:r>
          </w:p>
        </w:tc>
        <w:tc>
          <w:tcPr>
            <w:tcW w:type="dxa" w:w="6048"/>
            <w:vAlign w:val="top"/>
          </w:tcPr>
          <w:p>
            <w:r/>
            <w:r>
              <w:rPr>
                <w:b w:val="0"/>
                <w:sz w:val="17"/>
              </w:rPr>
              <w:t>Understand how context makes evidence interpretable.</w:t>
            </w:r>
          </w:p>
        </w:tc>
      </w:tr>
      <w:tr>
        <w:tc>
          <w:tcPr>
            <w:tcW w:type="dxa" w:w="4608"/>
            <w:vAlign w:val="top"/>
          </w:tcPr>
          <w:p>
            <w:r/>
            <w:r>
              <w:rPr>
                <w:b w:val="0"/>
                <w:sz w:val="17"/>
              </w:rPr>
              <w:t>Tool_2B_Context_Reconstruction_Worksheet_Form_v2.docx</w:t>
            </w:r>
          </w:p>
        </w:tc>
        <w:tc>
          <w:tcPr>
            <w:tcW w:type="dxa" w:w="6048"/>
            <w:vAlign w:val="top"/>
          </w:tcPr>
          <w:p>
            <w:r/>
            <w:r>
              <w:rPr>
                <w:b w:val="0"/>
                <w:sz w:val="17"/>
              </w:rPr>
              <w:t>Reconstruct one evidence item into before/after meaning.</w:t>
            </w:r>
          </w:p>
        </w:tc>
      </w:tr>
      <w:tr>
        <w:tc>
          <w:tcPr>
            <w:tcW w:type="dxa" w:w="4608"/>
            <w:vAlign w:val="top"/>
          </w:tcPr>
          <w:p>
            <w:r/>
            <w:r>
              <w:rPr>
                <w:b w:val="0"/>
                <w:sz w:val="17"/>
              </w:rPr>
              <w:t>Tool_2C_Context_Brief_Summary_Sheet_v2.docx</w:t>
            </w:r>
          </w:p>
        </w:tc>
        <w:tc>
          <w:tcPr>
            <w:tcW w:type="dxa" w:w="6048"/>
            <w:vAlign w:val="top"/>
          </w:tcPr>
          <w:p>
            <w:r/>
            <w:r>
              <w:rPr>
                <w:b w:val="0"/>
                <w:sz w:val="17"/>
              </w:rPr>
              <w:t>Carry a concise Context Brief and claim boundary into Tool 3.</w:t>
            </w:r>
          </w:p>
        </w:tc>
      </w:tr>
    </w:tbl>
    <w:p/>
    <w:p>
      <w:pPr>
        <w:pStyle w:val="Heading2"/>
        <w:spacing w:before="140" w:after="40"/>
      </w:pPr>
      <w:r>
        <w:t>Recommended sequence</w:t>
      </w:r>
    </w:p>
    <w:p>
      <w:pPr>
        <w:spacing w:after="40"/>
        <w:ind w:left="317" w:hanging="259"/>
      </w:pPr>
      <w:r>
        <w:rPr>
          <w:sz w:val="20"/>
        </w:rPr>
        <w:t>1. Choose one evidence item from Tool 1C.</w:t>
      </w:r>
    </w:p>
    <w:p>
      <w:pPr>
        <w:spacing w:after="40"/>
        <w:ind w:left="317" w:hanging="259"/>
      </w:pPr>
      <w:r>
        <w:rPr>
          <w:sz w:val="20"/>
        </w:rPr>
        <w:t>2. Complete Tool 2B.</w:t>
      </w:r>
    </w:p>
    <w:p>
      <w:pPr>
        <w:spacing w:after="40"/>
        <w:ind w:left="317" w:hanging="259"/>
      </w:pPr>
      <w:r>
        <w:rPr>
          <w:sz w:val="20"/>
        </w:rPr>
        <w:t>3. Use Tool 2C to summarize the context, difference, and boundary.</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