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Tool 3.5A — Market Translation Bridge Guide</w:t>
      </w:r>
    </w:p>
    <w:p>
      <w:pPr>
        <w:pStyle w:val="Subtitle"/>
      </w:pPr>
      <w:r>
        <w:t>Translate evidence-backed value into market-recognizable role language before rendering</w:t>
      </w:r>
    </w:p>
    <w:p>
      <w:r>
        <w:rPr>
          <w:rFonts w:ascii="Georgia" w:hAnsi="Georgia"/>
          <w:b/>
          <w:color w:val="A86743"/>
          <w:sz w:val="20"/>
        </w:rPr>
        <w:t>The Living Professional Record | The Professional Truth Trilogy</w:t>
      </w:r>
    </w:p>
    <w:p>
      <w:pPr>
        <w:spacing w:before="40" w:after="160"/>
        <w:pBdr>
          <w:bottom w:val="single" w:sz="8" w:space="1" w:color="9BA4AE"/>
        </w:pBdr>
      </w:pPr>
    </w:p>
    <w:p>
      <w:pPr>
        <w:pStyle w:val="Heading1"/>
      </w:pPr>
      <w:r>
        <w:t>Tool 3.5: Market Translation Bridge</w:t>
      </w:r>
    </w:p>
    <w:p>
      <w:r>
        <w:rPr>
          <w:rFonts w:ascii="Georgia" w:hAnsi="Georgia"/>
          <w:color w:val="1F2933"/>
        </w:rPr>
        <w:t>Use this guide to translate evidence-backed value from your Living Professional Record into market-recognizable role language, role-family hypotheses, audience options, and pathway choices before creating a résumé, profile, bio, interview answer, portfolio summary, or proposal paragraph.</w:t>
      </w:r>
    </w:p>
    <w:p>
      <w:pPr>
        <w:pStyle w:val="Heading2"/>
      </w:pPr>
      <w:r>
        <w:t>Core principle</w:t>
      </w:r>
    </w:p>
    <w:p>
      <w:r>
        <w:rPr>
          <w:rFonts w:ascii="Georgia" w:hAnsi="Georgia"/>
          <w:color w:val="1F2933"/>
        </w:rPr>
        <w:t>The résumé is a rendering. The record is the source of truth.</w:t>
      </w:r>
    </w:p>
    <w:p>
      <w:r>
        <w:rPr>
          <w:rFonts w:ascii="Georgia" w:hAnsi="Georgia"/>
          <w:color w:val="1F2933"/>
        </w:rPr>
        <w:t>But before you render the record, you need to know what lane you are rendering for. That is the work of market translation.</w:t>
      </w:r>
    </w:p>
    <w:p>
      <w:pPr>
        <w:pStyle w:val="Heading2"/>
      </w:pPr>
      <w:r>
        <w:t>Shared translation standard</w:t>
      </w:r>
    </w:p>
    <w:p>
      <w:r>
        <w:rPr>
          <w:rFonts w:ascii="Georgia" w:hAnsi="Georgia"/>
          <w:color w:val="1F2933"/>
        </w:rPr>
        <w:t>What changed, how much, for whom, under what conditions, and what evidence supports it?</w:t>
      </w:r>
    </w:p>
    <w:p>
      <w:pPr>
        <w:pStyle w:val="Heading2"/>
      </w:pPr>
      <w:r>
        <w:t>Where this fits in the Record-to-Rendering Map</w:t>
      </w:r>
    </w:p>
    <w:p>
      <w:r>
        <w:rPr>
          <w:rFonts w:ascii="Georgia" w:hAnsi="Georgia"/>
          <w:color w:val="1F2933"/>
        </w:rPr>
        <w:t>Experience → Evidence → Measure Clues → Context → Before/After → Value Pattern → Market Language → Role Family → Audience → Rendering → Feedback → Revision</w:t>
      </w:r>
    </w:p>
    <w:p>
      <w:r>
        <w:rPr>
          <w:rFonts w:ascii="Georgia" w:hAnsi="Georgia"/>
          <w:color w:val="1F2933"/>
        </w:rPr>
        <w:t>This tool focuses on: Value Pattern → Market Language → Role Family → Audience.</w:t>
      </w:r>
    </w:p>
    <w:p>
      <w:pPr>
        <w:pStyle w:val="Heading2"/>
      </w:pPr>
      <w:r>
        <w:t>Privacy and responsible-use note</w:t>
      </w:r>
    </w:p>
    <w:p>
      <w:r>
        <w:rPr>
          <w:rFonts w:ascii="Georgia" w:hAnsi="Georgia"/>
          <w:color w:val="1F2933"/>
        </w:rPr>
        <w:t>Use responsibly.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r>
        <w:rPr>
          <w:rFonts w:ascii="Georgia" w:hAnsi="Georgia"/>
          <w:color w:val="1F2933"/>
        </w:rPr>
        <w:t>Claim carefully. Measure clues are not permission to invent numbers or overstate results. Use measured, observed, or carefully qualified language. If a number cannot be verified, describe the change more generally and keep the claim within what the record can support.</w:t>
      </w:r>
    </w:p>
    <w:p>
      <w:pPr>
        <w:pStyle w:val="Heading2"/>
      </w:pPr>
      <w:r>
        <w:t>Why this bridge exists</w:t>
      </w:r>
    </w:p>
    <w:p>
      <w:r>
        <w:rPr>
          <w:rFonts w:ascii="Georgia" w:hAnsi="Georgia"/>
          <w:color w:val="1F2933"/>
        </w:rPr>
        <w:t>You may know what happened. You may know what you did. You may know what changed. You may even know the work mattered. But you may not know what the market calls it. That is normal.</w:t>
      </w:r>
    </w:p>
    <w:p>
      <w:r>
        <w:rPr>
          <w:rFonts w:ascii="Georgia" w:hAnsi="Georgia"/>
          <w:color w:val="1F2933"/>
        </w:rPr>
        <w:t>The labor market does not always use the language people use inside their actual work. Military roles may not translate cleanly into civilian job titles. Caregiving gaps may hide capability. Hybrid jobs may cross several functions. Administrative work may include project management, operations, customer success, training, logistics, coordination, or data work without carrying those titles.</w:t>
      </w:r>
    </w:p>
    <w:p>
      <w:r>
        <w:rPr>
          <w:rFonts w:ascii="Georgia" w:hAnsi="Georgia"/>
          <w:color w:val="1F2933"/>
        </w:rPr>
        <w:t>Tool 3.5 does not ask you to master the labor market. It gives you a structured way to gather outside signal and produce a bounded Market Translation Brief.</w:t>
      </w:r>
    </w:p>
    <w:p>
      <w:pPr>
        <w:pStyle w:val="Heading2"/>
      </w:pPr>
      <w:r>
        <w:t>What market translation means</w:t>
      </w:r>
    </w:p>
    <w:p>
      <w:r>
        <w:rPr>
          <w:rFonts w:ascii="Georgia" w:hAnsi="Georgia"/>
          <w:color w:val="1F2933"/>
        </w:rPr>
        <w:t>Market translation is the process of converting evidence-backed value into language the outside market can recognize. It connects:</w:t>
      </w:r>
    </w:p>
    <w:p>
      <w:pPr>
        <w:pStyle w:val="ListBullet"/>
        <w:spacing w:after="40"/>
      </w:pPr>
      <w:r>
        <w:rPr>
          <w:rFonts w:ascii="Georgia" w:hAnsi="Georgia"/>
          <w:color w:val="1F2933"/>
          <w:sz w:val="21"/>
        </w:rPr>
        <w:t>value patterns to problem language</w:t>
      </w:r>
    </w:p>
    <w:p>
      <w:pPr>
        <w:pStyle w:val="ListBullet"/>
        <w:spacing w:after="40"/>
      </w:pPr>
      <w:r>
        <w:rPr>
          <w:rFonts w:ascii="Georgia" w:hAnsi="Georgia"/>
          <w:color w:val="1F2933"/>
          <w:sz w:val="21"/>
        </w:rPr>
        <w:t>problem language to role families</w:t>
      </w:r>
    </w:p>
    <w:p>
      <w:pPr>
        <w:pStyle w:val="ListBullet"/>
        <w:spacing w:after="40"/>
      </w:pPr>
      <w:r>
        <w:rPr>
          <w:rFonts w:ascii="Georgia" w:hAnsi="Georgia"/>
          <w:color w:val="1F2933"/>
          <w:sz w:val="21"/>
        </w:rPr>
        <w:t>role families to job titles and search terms</w:t>
      </w:r>
    </w:p>
    <w:p>
      <w:pPr>
        <w:pStyle w:val="ListBullet"/>
        <w:spacing w:after="40"/>
      </w:pPr>
      <w:r>
        <w:rPr>
          <w:rFonts w:ascii="Georgia" w:hAnsi="Georgia"/>
          <w:color w:val="1F2933"/>
          <w:sz w:val="21"/>
        </w:rPr>
        <w:t>job titles to audiences and organization types</w:t>
      </w:r>
    </w:p>
    <w:p>
      <w:pPr>
        <w:pStyle w:val="ListBullet"/>
        <w:spacing w:after="40"/>
      </w:pPr>
      <w:r>
        <w:rPr>
          <w:rFonts w:ascii="Georgia" w:hAnsi="Georgia"/>
          <w:color w:val="1F2933"/>
          <w:sz w:val="21"/>
        </w:rPr>
        <w:t>organization types to pathway options</w:t>
      </w:r>
    </w:p>
    <w:p>
      <w:pPr>
        <w:pStyle w:val="ListBullet"/>
        <w:spacing w:after="40"/>
      </w:pPr>
      <w:r>
        <w:rPr>
          <w:rFonts w:ascii="Georgia" w:hAnsi="Georgia"/>
          <w:color w:val="1F2933"/>
          <w:sz w:val="21"/>
        </w:rPr>
        <w:t>pathway options to proof gaps</w:t>
      </w:r>
    </w:p>
    <w:p>
      <w:pPr>
        <w:pStyle w:val="ListBullet"/>
        <w:spacing w:after="40"/>
      </w:pPr>
      <w:r>
        <w:rPr>
          <w:rFonts w:ascii="Georgia" w:hAnsi="Georgia"/>
          <w:color w:val="1F2933"/>
          <w:sz w:val="21"/>
        </w:rPr>
        <w:t>proof gaps to next actions</w:t>
      </w:r>
    </w:p>
    <w:p>
      <w:pPr>
        <w:pStyle w:val="ListBullet"/>
        <w:spacing w:after="40"/>
      </w:pPr>
      <w:r>
        <w:rPr>
          <w:rFonts w:ascii="Georgia" w:hAnsi="Georgia"/>
          <w:color w:val="1F2933"/>
          <w:sz w:val="21"/>
        </w:rPr>
        <w:t>one selected lane to Tool 4 for rendering</w:t>
      </w:r>
    </w:p>
    <w:p>
      <w:r>
        <w:rPr>
          <w:rFonts w:ascii="Georgia" w:hAnsi="Georgia"/>
          <w:color w:val="1F2933"/>
        </w:rPr>
        <w:t>Market translation does not mean pretending your work was something else. It means finding the closest responsible language for what the record already supports.</w:t>
      </w:r>
    </w:p>
    <w:p>
      <w:pPr>
        <w:pStyle w:val="Heading2"/>
      </w:pPr>
      <w:r>
        <w:t>Why résumé and AI tools can miss the mark</w:t>
      </w:r>
    </w:p>
    <w:p>
      <w:r>
        <w:rPr>
          <w:rFonts w:ascii="Georgia" w:hAnsi="Georgia"/>
          <w:color w:val="1F2933"/>
        </w:rPr>
        <w:t>Many résumé, profile, and application tools are useful after a target role exists. They can help tailor, rewrite, compare, format, or polish. But if the target is wrong, the rendering may be polished in the wrong direction.</w:t>
      </w:r>
    </w:p>
    <w:p>
      <w:r>
        <w:rPr>
          <w:rFonts w:ascii="Georgia" w:hAnsi="Georgia"/>
          <w:color w:val="1F2933"/>
        </w:rPr>
        <w:t>Most résumé and AI tools help polish a rendering. The Market Translation Bridge helps decide what should be rendered, for whom, and why.</w:t>
      </w:r>
    </w:p>
    <w:p>
      <w:pPr>
        <w:pStyle w:val="Heading2"/>
      </w:pPr>
      <w:r>
        <w:t>Separate the pieces before choosing a lane</w:t>
      </w:r>
    </w:p>
    <w:tbl>
      <w:tblPr>
        <w:tblStyle w:val="TableGrid"/>
        <w:tblW w:type="auto" w:w="0"/>
        <w:jc w:val="center"/>
        <w:tblLook w:firstColumn="1" w:firstRow="1" w:lastColumn="0" w:lastRow="0" w:noHBand="0" w:noVBand="1" w:val="04A0"/>
      </w:tblPr>
      <w:tblGrid>
        <w:gridCol w:w="5184"/>
        <w:gridCol w:w="5184"/>
      </w:tblGrid>
      <w:tr>
        <w:tc>
          <w:tcPr>
            <w:tcW w:type="dxa" w:w="208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8"/>
              </w:rPr>
              <w:t>Term</w:t>
            </w:r>
          </w:p>
        </w:tc>
        <w:tc>
          <w:tcPr>
            <w:tcW w:type="dxa" w:w="8208"/>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8"/>
              </w:rPr>
              <w:t>Meaning</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Role title</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The name used in a job posting or organization, such as Operations Coordinator, Program Manager, Training Specialist, or Logistics Analyst. A title is useful, but not reliable by itself.</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Role family</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A cluster of related roles, such as operations, project management, training and enablement, HR operations, compliance, analytics, administration, or executive operations.</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Function</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The type of work being performed: coordinating, analyzing, training, governing, managing risk, improving process, leading teams, stabilizing operations, or translating information.</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Problem space</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The kind of problem the record shows the person can help solve: unclear handoffs, delayed decisions, inconsistent onboarding, fragmented reporting, recurring rework, low adoption, risk visibility, or transition management.</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Audience</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The person, team, organization, sector, or decision-maker that may care about the value: hiring manager, operations leader, HR team, nonprofit program director, small business owner, client, board, or executive team.</w:t>
            </w:r>
          </w:p>
        </w:tc>
      </w:tr>
      <w:tr>
        <w:tc>
          <w:tcPr>
            <w:tcW w:type="dxa" w:w="208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Pathway</w:t>
            </w:r>
          </w:p>
        </w:tc>
        <w:tc>
          <w:tcPr>
            <w:tcW w:type="dxa" w:w="8208"/>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The route into the opportunity: direct application, referral conversation, fellowship, apprenticeship, returnship, certification, portfolio, consulting proposal, internal promotion, bridge role, or informational conversation.</w:t>
            </w:r>
          </w:p>
        </w:tc>
      </w:tr>
    </w:tbl>
    <w:p/>
    <w:p>
      <w:pPr>
        <w:pStyle w:val="Heading2"/>
      </w:pPr>
      <w:r>
        <w:t>How to use external resources responsibly</w:t>
      </w:r>
    </w:p>
    <w:p>
      <w:r>
        <w:rPr>
          <w:rFonts w:ascii="Georgia" w:hAnsi="Georgia"/>
          <w:color w:val="1F2933"/>
        </w:rPr>
        <w:t>External resources can help calibrate market language. They may help identify role families, job titles, skills, requirements, preparation levels, pathways, or related occupations.</w:t>
      </w:r>
    </w:p>
    <w:p>
      <w:r>
        <w:rPr>
          <w:rFonts w:ascii="Georgia" w:hAnsi="Georgia"/>
          <w:color w:val="1F2933"/>
        </w:rPr>
        <w:t>Useful resource types may include occupational databases, labor-market outlook resources, military-to-civilian crosswalks, apprenticeship and bridge-pathway resources, career-returner and older-worker resources, veteran transition organizations, job postings used as language samples, human feedback, and labor-market intelligence tools where appropriate.</w:t>
      </w:r>
    </w:p>
    <w:p>
      <w:r>
        <w:rPr>
          <w:rFonts w:ascii="Georgia" w:hAnsi="Georgia"/>
          <w:color w:val="1F2933"/>
        </w:rPr>
        <w:t>Use external resources as signal, not authority. Do not let a job title, website, AI output, or platform label override the evidence in your record.</w:t>
      </w:r>
    </w:p>
    <w:p>
      <w:pPr>
        <w:pStyle w:val="Heading2"/>
      </w:pPr>
      <w:r>
        <w:t>How to use AI responsibly</w:t>
      </w:r>
    </w:p>
    <w:p>
      <w:r>
        <w:rPr>
          <w:rFonts w:ascii="Georgia" w:hAnsi="Georgia"/>
          <w:color w:val="1F2933"/>
        </w:rPr>
        <w:t>AI can help brainstorm role-family language, compare several role titles, identify possible search terms, translate internal language into market language, ask questions about proof gaps, or compare a value pattern with job-posting language.</w:t>
      </w:r>
    </w:p>
    <w:p>
      <w:r>
        <w:rPr>
          <w:rFonts w:ascii="Georgia" w:hAnsi="Georgia"/>
          <w:color w:val="1F2933"/>
        </w:rPr>
        <w:t>AI should not decide your career. It should not invent claims. It should not turn an unsupported direction into a confident résumé. Use AI as a helper. Keep the record as the authority.</w:t>
      </w:r>
    </w:p>
    <w:p>
      <w:pPr>
        <w:pStyle w:val="Heading2"/>
      </w:pPr>
      <w:r>
        <w:t>How to avoid overclaiming</w:t>
      </w:r>
    </w:p>
    <w:p>
      <w:r>
        <w:rPr>
          <w:rFonts w:ascii="Georgia" w:hAnsi="Georgia"/>
          <w:color w:val="1F2933"/>
        </w:rPr>
        <w:t>Market translation can create temptation. Once you see a market title that sounds close, you may want to claim it immediately. Pause first and ask:</w:t>
      </w:r>
    </w:p>
    <w:p>
      <w:pPr>
        <w:pStyle w:val="ListBullet"/>
        <w:spacing w:after="40"/>
      </w:pPr>
      <w:r>
        <w:rPr>
          <w:rFonts w:ascii="Georgia" w:hAnsi="Georgia"/>
          <w:color w:val="1F2933"/>
          <w:sz w:val="21"/>
        </w:rPr>
        <w:t>Does my record support this role family, level of responsibility, scale, and result?</w:t>
      </w:r>
    </w:p>
    <w:p>
      <w:pPr>
        <w:pStyle w:val="ListBullet"/>
        <w:spacing w:after="40"/>
      </w:pPr>
      <w:r>
        <w:rPr>
          <w:rFonts w:ascii="Georgia" w:hAnsi="Georgia"/>
          <w:color w:val="1F2933"/>
          <w:sz w:val="21"/>
        </w:rPr>
        <w:t>Is this a direct-fit lane, adjacent-fit lane, or bridge-required lane?</w:t>
      </w:r>
    </w:p>
    <w:p>
      <w:pPr>
        <w:pStyle w:val="ListBullet"/>
        <w:spacing w:after="40"/>
      </w:pPr>
      <w:r>
        <w:rPr>
          <w:rFonts w:ascii="Georgia" w:hAnsi="Georgia"/>
          <w:color w:val="1F2933"/>
          <w:sz w:val="21"/>
        </w:rPr>
        <w:t>What evidence would someone expect?</w:t>
      </w:r>
    </w:p>
    <w:p>
      <w:pPr>
        <w:pStyle w:val="ListBullet"/>
        <w:spacing w:after="40"/>
      </w:pPr>
      <w:r>
        <w:rPr>
          <w:rFonts w:ascii="Georgia" w:hAnsi="Georgia"/>
          <w:color w:val="1F2933"/>
          <w:sz w:val="21"/>
        </w:rPr>
        <w:t>What proof gaps remain?</w:t>
      </w:r>
    </w:p>
    <w:p>
      <w:pPr>
        <w:pStyle w:val="ListBullet"/>
        <w:spacing w:after="40"/>
      </w:pPr>
      <w:r>
        <w:rPr>
          <w:rFonts w:ascii="Georgia" w:hAnsi="Georgia"/>
          <w:color w:val="1F2933"/>
          <w:sz w:val="21"/>
        </w:rPr>
        <w:t>What claim would be too broad?</w:t>
      </w:r>
    </w:p>
    <w:p>
      <w:pPr>
        <w:pStyle w:val="ListBullet"/>
        <w:spacing w:after="40"/>
      </w:pPr>
      <w:r>
        <w:rPr>
          <w:rFonts w:ascii="Georgia" w:hAnsi="Georgia"/>
          <w:color w:val="1F2933"/>
          <w:sz w:val="21"/>
        </w:rPr>
        <w:t>What safer claim can I make now?</w:t>
      </w:r>
    </w:p>
    <w:p>
      <w:r>
        <w:rPr>
          <w:rFonts w:ascii="Georgia" w:hAnsi="Georgia"/>
          <w:color w:val="1F2933"/>
        </w:rPr>
        <w:t>Market language should make the record legible. It should not inflate the record.</w:t>
      </w:r>
    </w:p>
    <w:p>
      <w:pPr>
        <w:pStyle w:val="Heading2"/>
      </w:pPr>
      <w:r>
        <w:t>How to decide what is ready for Tool 4</w:t>
      </w:r>
    </w:p>
    <w:p>
      <w:r>
        <w:rPr>
          <w:rFonts w:ascii="Georgia" w:hAnsi="Georgia"/>
          <w:color w:val="1F2933"/>
        </w:rPr>
        <w:t>A lane is ready to move into Tool 4 when the value pattern is clear, the market language is plausible, at least one role family or function is credible, the audience is specific enough, the supporting evidence is identified, the proof gaps are known, the claim boundary is clear, and the privacy limits are known.</w:t>
      </w:r>
    </w:p>
    <w:p>
      <w:r>
        <w:rPr>
          <w:rFonts w:ascii="Georgia" w:hAnsi="Georgia"/>
          <w:color w:val="1F2933"/>
        </w:rPr>
        <w:t>A lane does not need to be perfect. It needs to be credible enough to render and test.</w:t>
      </w:r>
    </w:p>
    <w:p>
      <w:pPr>
        <w:pStyle w:val="Heading2"/>
      </w:pPr>
      <w:r>
        <w:t>Simple example</w:t>
      </w:r>
    </w:p>
    <w:p>
      <w:r>
        <w:rPr>
          <w:rFonts w:ascii="Georgia" w:hAnsi="Georgia"/>
          <w:color w:val="1F2933"/>
        </w:rPr>
        <w:t>A mid-career operations coordinator helped stabilize onboarding across three locations during staffing constraints and unclear ownership. Her record supports operations coordination and onboarding operations more strongly than it supports full program management or learning-and-development strategy. Tool 3.5 helps name those lanes, identify proof gaps, and choose the strongest lane to render in Tool 4.</w:t>
      </w:r>
    </w:p>
    <w:p>
      <w:pPr>
        <w:pStyle w:val="Heading2"/>
      </w:pPr>
      <w:r>
        <w:t>Closing note</w:t>
      </w:r>
    </w:p>
    <w:p>
      <w:r>
        <w:rPr>
          <w:rFonts w:ascii="Georgia" w:hAnsi="Georgia"/>
          <w:color w:val="1F2933"/>
        </w:rPr>
        <w:t>You may not know what the market calls your work yet. That is not failure. That is why this bridge exists.</w:t>
      </w:r>
    </w:p>
    <w:p>
      <w:r>
        <w:rPr>
          <w:rFonts w:ascii="Georgia" w:hAnsi="Georgia"/>
          <w:color w:val="1F2933"/>
        </w:rPr>
        <w:t>Tool 3.5 gives you a way to move from “I know this work mattered” to “Here are the lanes where this value may be legible enough to test.”</w:t>
      </w:r>
    </w:p>
    <w:p>
      <w:r>
        <w:rPr>
          <w:rFonts w:ascii="Georgia" w:hAnsi="Georgia"/>
          <w:color w:val="1F2933"/>
        </w:rPr>
        <w:t>The résumé is a rendering. The record is the source of truth.</w:t>
      </w:r>
    </w:p>
    <w:sectPr>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Georgia" w:hAnsi="Georgia"/>
        <w:color w:val="5B6C78"/>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2" w:lineRule="auto"/>
    </w:pPr>
    <w:rPr>
      <w:rFonts w:ascii="Georgia" w:hAnsi="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eorgia" w:hAnsi="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eorgia" w:hAnsi="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eorgia" w:hAnsi="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0"/>
      <w:contextualSpacing/>
    </w:pPr>
    <w:rPr>
      <w:rFonts w:asciiTheme="majorHAnsi" w:eastAsiaTheme="majorEastAsia" w:hAnsiTheme="majorHAnsi" w:cstheme="majorBidi" w:ascii="Georgia" w:hAnsi="Georgia"/>
      <w:color w:val="17365D"/>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Georgia" w:hAnsi="Georgia"/>
      <w:i/>
      <w:iCs/>
      <w:color w:val="5B6C78"/>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cp:revision>
  <dcterms:created xsi:type="dcterms:W3CDTF">2013-12-23T23:15:00Z</dcterms:created>
  <dcterms:modified xsi:type="dcterms:W3CDTF">2013-12-23T23:15:00Z</dcterms:modified>
  <cp:category/>
</cp:coreProperties>
</file>