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Tool 3.5C — Market Translation Brief</w:t>
      </w:r>
    </w:p>
    <w:p>
      <w:pPr>
        <w:pStyle w:val="Subtitle"/>
      </w:pPr>
      <w:r>
        <w:t>Output sheet: carry one market lane into Tool 4</w:t>
      </w:r>
    </w:p>
    <w:p>
      <w:r>
        <w:rPr>
          <w:rFonts w:ascii="Georgia" w:hAnsi="Georgia"/>
          <w:b/>
          <w:color w:val="A86743"/>
          <w:sz w:val="20"/>
        </w:rPr>
        <w:t>The Living Professional Record | The Professional Truth Trilogy</w:t>
      </w:r>
    </w:p>
    <w:p>
      <w:pPr>
        <w:spacing w:before="40" w:after="160"/>
        <w:pBdr>
          <w:bottom w:val="single" w:sz="8" w:space="1" w:color="9BA4AE"/>
        </w:pBdr>
      </w:pPr>
    </w:p>
    <w:p>
      <w:pPr>
        <w:pStyle w:val="Heading2"/>
      </w:pPr>
      <w:r>
        <w:t>Purpose</w:t>
      </w:r>
    </w:p>
    <w:p>
      <w:r>
        <w:rPr>
          <w:rFonts w:ascii="Georgia" w:hAnsi="Georgia"/>
          <w:color w:val="1F2933"/>
        </w:rPr>
        <w:t>Use this sheet after completing Tool 3.5B. It summarizes the strongest market lane, secondary lanes, market language, proof gaps, claims to avoid, and rendering strategy to carry into Tool 4.</w:t>
      </w:r>
    </w:p>
    <w:p>
      <w:pPr>
        <w:pStyle w:val="Heading2"/>
      </w:pPr>
      <w:r>
        <w:t>Responsible-use reminder</w:t>
      </w:r>
    </w:p>
    <w:p>
      <w:r>
        <w:rPr>
          <w:rFonts w:ascii="Georgia" w:hAnsi="Georgia"/>
          <w:color w:val="1F2933"/>
        </w:rPr>
        <w:t>Do not use unsupported market language as a claim. Treat role families, job titles, and search terms as hypotheses to test. Keep privacy and claim boundaries attached to the record.</w:t>
      </w:r>
    </w:p>
    <w:p>
      <w:pPr>
        <w:pStyle w:val="Heading2"/>
      </w:pPr>
      <w:r>
        <w:t>1. Best-supported market lane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3312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Field</w:t>
            </w:r>
          </w:p>
        </w:tc>
        <w:tc>
          <w:tcPr>
            <w:tcW w:type="dxa" w:w="7056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Response</w:t>
            </w:r>
          </w:p>
        </w:tc>
      </w:tr>
      <w:tr>
        <w:tc>
          <w:tcPr>
            <w:tcW w:type="dxa" w:w="3312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Lane</w:t>
            </w:r>
          </w:p>
        </w:tc>
        <w:tc>
          <w:tcPr>
            <w:tcW w:type="dxa" w:w="7056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312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Role family / function</w:t>
            </w:r>
          </w:p>
        </w:tc>
        <w:tc>
          <w:tcPr>
            <w:tcW w:type="dxa" w:w="7056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312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Why this lane is credible</w:t>
            </w:r>
          </w:p>
        </w:tc>
        <w:tc>
          <w:tcPr>
            <w:tcW w:type="dxa" w:w="7056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</w:tbl>
    <w:p/>
    <w:p>
      <w:pPr>
        <w:pStyle w:val="Heading2"/>
      </w:pPr>
      <w:r>
        <w:t>2. Secondary lanes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c>
          <w:tcPr>
            <w:tcW w:type="dxa" w:w="3024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Secondary lane</w:t>
            </w:r>
          </w:p>
        </w:tc>
        <w:tc>
          <w:tcPr>
            <w:tcW w:type="dxa" w:w="4896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Why it may fit</w:t>
            </w:r>
          </w:p>
        </w:tc>
        <w:tc>
          <w:tcPr>
            <w:tcW w:type="dxa" w:w="244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Status</w:t>
            </w:r>
          </w:p>
        </w:tc>
      </w:tr>
      <w:tr>
        <w:tc>
          <w:tcPr>
            <w:tcW w:type="dxa" w:w="302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4896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☐ Test later ☐ Needs proof ☐ Pause</w:t>
            </w:r>
          </w:p>
        </w:tc>
      </w:tr>
      <w:tr>
        <w:tc>
          <w:tcPr>
            <w:tcW w:type="dxa" w:w="302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4896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☐ Test later ☐ Needs proof ☐ Pause</w:t>
            </w:r>
          </w:p>
        </w:tc>
      </w:tr>
      <w:tr>
        <w:tc>
          <w:tcPr>
            <w:tcW w:type="dxa" w:w="302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4896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☐ Test later ☐ Needs proof ☐ Pause</w:t>
            </w:r>
          </w:p>
        </w:tc>
      </w:tr>
    </w:tbl>
    <w:p/>
    <w:p>
      <w:pPr>
        <w:pStyle w:val="Heading2"/>
      </w:pPr>
      <w:r>
        <w:t>3. Market language to test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316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Language type</w:t>
            </w:r>
          </w:p>
        </w:tc>
        <w:tc>
          <w:tcPr>
            <w:tcW w:type="dxa" w:w="7200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Notes</w:t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Search terms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1.</w:t>
              <w:br/>
              <w:t>2.</w:t>
              <w:br/>
              <w:t>3.</w:t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Possible job titles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1.</w:t>
              <w:br/>
              <w:t>2.</w:t>
              <w:br/>
              <w:t>3.</w:t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Role-family language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Problem-space language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</w:tbl>
    <w:p/>
    <w:p>
      <w:pPr>
        <w:pStyle w:val="Heading2"/>
      </w:pPr>
      <w:r>
        <w:t>4. Audience types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4320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Audience / organization type</w:t>
            </w:r>
          </w:p>
        </w:tc>
        <w:tc>
          <w:tcPr>
            <w:tcW w:type="dxa" w:w="604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Why they may care</w:t>
            </w:r>
          </w:p>
        </w:tc>
      </w:tr>
      <w:tr>
        <w:tc>
          <w:tcPr>
            <w:tcW w:type="dxa" w:w="432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60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432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60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432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60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432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60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432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60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</w:tbl>
    <w:p/>
    <w:p>
      <w:pPr>
        <w:pStyle w:val="Heading2"/>
      </w:pPr>
      <w:r>
        <w:t>5. Evidence supporting each lane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304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Lane</w:t>
            </w:r>
          </w:p>
        </w:tc>
        <w:tc>
          <w:tcPr>
            <w:tcW w:type="dxa" w:w="316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Evidence</w:t>
            </w:r>
          </w:p>
        </w:tc>
        <w:tc>
          <w:tcPr>
            <w:tcW w:type="dxa" w:w="244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Value pattern</w:t>
            </w:r>
          </w:p>
        </w:tc>
        <w:tc>
          <w:tcPr>
            <w:tcW w:type="dxa" w:w="244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Evidence strength</w:t>
            </w:r>
          </w:p>
        </w:tc>
      </w:tr>
      <w:tr>
        <w:tc>
          <w:tcPr>
            <w:tcW w:type="dxa" w:w="230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☐ Strong ☐ Supported ☐ Emerging ☐ Needs verification</w:t>
            </w:r>
          </w:p>
        </w:tc>
      </w:tr>
      <w:tr>
        <w:tc>
          <w:tcPr>
            <w:tcW w:type="dxa" w:w="230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☐ Strong ☐ Supported ☐ Emerging ☐ Needs verification</w:t>
            </w:r>
          </w:p>
        </w:tc>
      </w:tr>
      <w:tr>
        <w:tc>
          <w:tcPr>
            <w:tcW w:type="dxa" w:w="230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☐ Strong ☐ Supported ☐ Emerging ☐ Needs verification</w:t>
            </w:r>
          </w:p>
        </w:tc>
      </w:tr>
      <w:tr>
        <w:tc>
          <w:tcPr>
            <w:tcW w:type="dxa" w:w="230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244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☐ Strong ☐ Supported ☐ Emerging ☐ Needs verification</w:t>
            </w:r>
          </w:p>
        </w:tc>
      </w:tr>
    </w:tbl>
    <w:p/>
    <w:p>
      <w:pPr>
        <w:pStyle w:val="Heading2"/>
      </w:pPr>
      <w:r>
        <w:t>6. Proof gaps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c>
          <w:tcPr>
            <w:tcW w:type="dxa" w:w="316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Gap</w:t>
            </w:r>
          </w:p>
        </w:tc>
        <w:tc>
          <w:tcPr>
            <w:tcW w:type="dxa" w:w="3600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Why it matters</w:t>
            </w:r>
          </w:p>
        </w:tc>
        <w:tc>
          <w:tcPr>
            <w:tcW w:type="dxa" w:w="3600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Next action</w:t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36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</w:tbl>
    <w:p/>
    <w:p>
      <w:pPr>
        <w:pStyle w:val="Heading2"/>
      </w:pPr>
      <w:r>
        <w:t>7. Claims to avoid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184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Claim to avoid</w:t>
            </w:r>
          </w:p>
        </w:tc>
        <w:tc>
          <w:tcPr>
            <w:tcW w:type="dxa" w:w="5184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Safer claim</w:t>
            </w:r>
          </w:p>
        </w:tc>
      </w:tr>
      <w:tr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  <w:tc>
          <w:tcPr>
            <w:tcW w:type="dxa" w:w="5184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</w:tbl>
    <w:p/>
    <w:p>
      <w:pPr>
        <w:pStyle w:val="Heading2"/>
      </w:pPr>
      <w:r>
        <w:t>8. Suggested external resources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388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Resource type</w:t>
            </w:r>
          </w:p>
        </w:tc>
        <w:tc>
          <w:tcPr>
            <w:tcW w:type="dxa" w:w="6480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Purpose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Occupational database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Role family, tasks, skills, related occupations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Military crosswalk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Civilian role-family translation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Labor-market outlook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Pay, growth, preparation, work conditions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Apprenticeship or bridge pathway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Entry or transition route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Returnship or reentry program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Reentry pathway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Veteran transition organization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Coaching, fellowship, mentorship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Job postings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Repeated terms, requirements, evidence expectations</w:t>
            </w:r>
          </w:p>
        </w:tc>
      </w:tr>
      <w:tr>
        <w:tc>
          <w:tcPr>
            <w:tcW w:type="dxa" w:w="388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Mentor / recruiter / hiring-manager feedback</w:t>
            </w:r>
          </w:p>
        </w:tc>
        <w:tc>
          <w:tcPr>
            <w:tcW w:type="dxa" w:w="648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Language, fit, credibility, proof expectations</w:t>
            </w:r>
          </w:p>
        </w:tc>
      </w:tr>
    </w:tbl>
    <w:p/>
    <w:p>
      <w:pPr>
        <w:pStyle w:val="Heading2"/>
      </w:pPr>
      <w:r>
        <w:t>9. Recommended next actions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1440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Action</w:t>
            </w:r>
          </w:p>
        </w:tc>
        <w:tc>
          <w:tcPr>
            <w:tcW w:type="dxa" w:w="892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Owner / timing / note</w:t>
            </w:r>
          </w:p>
        </w:tc>
      </w:tr>
      <w:tr>
        <w:tc>
          <w:tcPr>
            <w:tcW w:type="dxa" w:w="144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1.</w:t>
            </w:r>
          </w:p>
        </w:tc>
        <w:tc>
          <w:tcPr>
            <w:tcW w:type="dxa" w:w="892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144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2.</w:t>
            </w:r>
          </w:p>
        </w:tc>
        <w:tc>
          <w:tcPr>
            <w:tcW w:type="dxa" w:w="892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144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3.</w:t>
            </w:r>
          </w:p>
        </w:tc>
        <w:tc>
          <w:tcPr>
            <w:tcW w:type="dxa" w:w="892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</w:tbl>
    <w:p/>
    <w:p>
      <w:pPr>
        <w:pStyle w:val="Heading2"/>
      </w:pPr>
      <w:r>
        <w:t>10. Rendering strategy for Tool 4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3168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Field</w:t>
            </w:r>
          </w:p>
        </w:tc>
        <w:tc>
          <w:tcPr>
            <w:tcW w:type="dxa" w:w="7200"/>
            <w:shd w:fill="F4F0EA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r>
              <w:rPr>
                <w:rFonts w:ascii="Georgia" w:hAnsi="Georgia"/>
                <w:b/>
                <w:color w:val="0B2A45"/>
                <w:sz w:val="17"/>
              </w:rPr>
              <w:t>Instruction / notes</w:t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Target audience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Rendering type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Source-backed claim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Measure of value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Context to include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Context to leave out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Privacy / safe-use limit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</w:r>
          </w:p>
        </w:tc>
      </w:tr>
      <w:tr>
        <w:tc>
          <w:tcPr>
            <w:tcW w:type="dxa" w:w="3168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Tool 4 instruction</w:t>
            </w:r>
          </w:p>
        </w:tc>
        <w:tc>
          <w:tcPr>
            <w:tcW w:type="dxa" w:w="7200"/>
            <w:vAlign w:val="top"/>
            <w:tcBorders>
              <w:top w:sz="4" w:val="single" w:color="D8D2C8"/>
              <w:left w:sz="4" w:val="single" w:color="D8D2C8"/>
              <w:bottom w:sz="4" w:val="single" w:color="D8D2C8"/>
              <w:right w:sz="4" w:val="single" w:color="D8D2C8"/>
            </w:tcBorders>
          </w:tcPr>
          <w:p>
            <w:pPr>
              <w:spacing w:after="0"/>
            </w:pPr>
            <w:r>
              <w:rPr>
                <w:rFonts w:ascii="Georgia" w:hAnsi="Georgia"/>
                <w:color w:val="1F2933"/>
                <w:sz w:val="17"/>
              </w:rPr>
              <w:t>Render this lane for this audience without overstating the claim or exposing protected details.</w:t>
            </w:r>
          </w:p>
        </w:tc>
      </w:tr>
    </w:tbl>
    <w:p/>
    <w:p>
      <w:pPr>
        <w:pStyle w:val="Heading2"/>
      </w:pPr>
      <w:r>
        <w:t>Carry-forward line</w:t>
      </w:r>
    </w:p>
    <w:p>
      <w:r>
        <w:rPr>
          <w:rFonts w:ascii="Georgia" w:hAnsi="Georgia"/>
          <w:color w:val="1F2933"/>
        </w:rPr>
        <w:t>What should be rendered, for whom, and why this lane is credible enough to test?</w:t>
      </w:r>
    </w:p>
    <w:p>
      <w:r>
        <w:rPr>
          <w:rFonts w:ascii="Georgia" w:hAnsi="Georgia"/>
          <w:color w:val="1F2933"/>
        </w:rPr>
        <w:t>______________________________________________________________________________</w:t>
      </w:r>
    </w:p>
    <w:p>
      <w:r>
        <w:rPr>
          <w:rFonts w:ascii="Georgia" w:hAnsi="Georgia"/>
          <w:color w:val="1F2933"/>
        </w:rPr>
        <w:t>______________________________________________________________________________</w:t>
      </w:r>
    </w:p>
    <w:sectPr>
      <w:footerReference w:type="default" r:id="rId9"/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Georgia" w:hAnsi="Georgia"/>
        <w:color w:val="5B6C78"/>
        <w:sz w:val="16"/>
      </w:rPr>
      <w:t>Jeffrey Paul Chamberlain | The Living Professional Record companion tools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52" w:lineRule="auto"/>
    </w:pPr>
    <w:rPr>
      <w:rFonts w:ascii="Georgia" w:hAnsi="Georgia"/>
      <w:color w:val="1F293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eorgia" w:hAnsi="Georgia"/>
      <w:b/>
      <w:bCs/>
      <w:color w:val="0B2A4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eorgia" w:hAnsi="Georgia"/>
      <w:b/>
      <w:bCs/>
      <w:color w:val="0B2A4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eorgia" w:hAnsi="Georgia"/>
      <w:b/>
      <w:bCs/>
      <w:color w:val="0B2A45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Georgia" w:hAnsi="Georgia"/>
      <w:i/>
      <w:iCs/>
      <w:color w:val="5B6C78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