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Tool 3.5 — Market Translation Bridge Kit Index</w:t>
      </w:r>
    </w:p>
    <w:p>
      <w:pPr>
        <w:pStyle w:val="Subtitle"/>
      </w:pPr>
      <w:r>
        <w:t>Translate evidence-backed value into market-recognizable role language</w:t>
      </w:r>
    </w:p>
    <w:p>
      <w:r>
        <w:rPr>
          <w:rFonts w:ascii="Georgia" w:hAnsi="Georgia"/>
          <w:b/>
          <w:color w:val="A86743"/>
          <w:sz w:val="20"/>
        </w:rPr>
        <w:t>The Living Professional Record | The Professional Truth Trilogy</w:t>
      </w:r>
    </w:p>
    <w:p>
      <w:pPr>
        <w:spacing w:before="40" w:after="160"/>
        <w:pBdr>
          <w:bottom w:val="single" w:sz="8" w:space="1" w:color="9BA4AE"/>
        </w:pBdr>
      </w:pPr>
    </w:p>
    <w:p>
      <w:r>
        <w:rPr>
          <w:rFonts w:ascii="Georgia" w:hAnsi="Georgia"/>
          <w:color w:val="1F2933"/>
        </w:rPr>
        <w:t>The résumé is a rendering.</w:t>
      </w:r>
    </w:p>
    <w:p>
      <w:r>
        <w:rPr>
          <w:rFonts w:ascii="Georgia" w:hAnsi="Georgia"/>
          <w:color w:val="1F2933"/>
        </w:rPr>
        <w:t>The record is the source of truth.</w:t>
      </w:r>
    </w:p>
    <w:p>
      <w:r>
        <w:rPr>
          <w:rFonts w:ascii="Georgia" w:hAnsi="Georgia"/>
          <w:color w:val="1F2933"/>
        </w:rPr>
        <w:t>Tool 3.5 sits between Positioning and Rendering. Use this kit when you have evidence patterns, context patterns, and value patterns, but you are not yet sure what market language, role families, job titles, organization types, or opportunity lanes to test.</w:t>
      </w:r>
    </w:p>
    <w:p>
      <w:pPr>
        <w:pStyle w:val="Heading2"/>
      </w:pPr>
      <w:r>
        <w:t>Files in this kit</w:t>
      </w:r>
    </w:p>
    <w:tbl>
      <w:tblPr>
        <w:tblStyle w:val="TableGrid"/>
        <w:tblW w:type="auto" w:w="0"/>
        <w:jc w:val="center"/>
        <w:tblLook w:firstColumn="1" w:firstRow="1" w:lastColumn="0" w:lastRow="0" w:noHBand="0" w:noVBand="1" w:val="04A0"/>
      </w:tblPr>
      <w:tblGrid>
        <w:gridCol w:w="5184"/>
        <w:gridCol w:w="5184"/>
      </w:tblGrid>
      <w:tr>
        <w:tc>
          <w:tcPr>
            <w:tcW w:type="dxa" w:w="4752"/>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8"/>
              </w:rPr>
              <w:t>File</w:t>
            </w:r>
          </w:p>
        </w:tc>
        <w:tc>
          <w:tcPr>
            <w:tcW w:type="dxa" w:w="5472"/>
            <w:shd w:fill="F4F0EA"/>
            <w:vAlign w:val="top"/>
            <w:tcBorders>
              <w:top w:sz="4" w:val="single" w:color="D8D2C8"/>
              <w:left w:sz="4" w:val="single" w:color="D8D2C8"/>
              <w:bottom w:sz="4" w:val="single" w:color="D8D2C8"/>
              <w:right w:sz="4" w:val="single" w:color="D8D2C8"/>
            </w:tcBorders>
          </w:tcPr>
          <w:p>
            <w:r>
              <w:rPr>
                <w:rFonts w:ascii="Georgia" w:hAnsi="Georgia"/>
                <w:b/>
                <w:color w:val="0B2A45"/>
                <w:sz w:val="18"/>
              </w:rPr>
              <w:t>Use it when you need to...</w:t>
            </w:r>
          </w:p>
        </w:tc>
      </w:tr>
      <w:tr>
        <w:tc>
          <w:tcPr>
            <w:tcW w:type="dxa" w:w="475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8"/>
              </w:rPr>
              <w:t>Tool_3_5A_Market_Translation_Bridge_Guide_v1.docx</w:t>
            </w:r>
          </w:p>
        </w:tc>
        <w:tc>
          <w:tcPr>
            <w:tcW w:type="dxa" w:w="547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8"/>
              </w:rPr>
              <w:t>Understand how evidence-backed value becomes market-recognizable role language.</w:t>
            </w:r>
          </w:p>
        </w:tc>
      </w:tr>
      <w:tr>
        <w:tc>
          <w:tcPr>
            <w:tcW w:type="dxa" w:w="475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8"/>
              </w:rPr>
              <w:t>Tool_3_5B_Market_Translation_Worksheet_Form_v1.docx</w:t>
            </w:r>
          </w:p>
        </w:tc>
        <w:tc>
          <w:tcPr>
            <w:tcW w:type="dxa" w:w="547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8"/>
              </w:rPr>
              <w:t>Translate value patterns into role-family, audience, pathway, and proof-gap hypotheses.</w:t>
            </w:r>
          </w:p>
        </w:tc>
      </w:tr>
      <w:tr>
        <w:tc>
          <w:tcPr>
            <w:tcW w:type="dxa" w:w="475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8"/>
              </w:rPr>
              <w:t>Tool_3_5C_Market_Translation_Brief_v1.docx</w:t>
            </w:r>
          </w:p>
        </w:tc>
        <w:tc>
          <w:tcPr>
            <w:tcW w:type="dxa" w:w="5472"/>
            <w:vAlign w:val="top"/>
            <w:tcBorders>
              <w:top w:sz="4" w:val="single" w:color="D8D2C8"/>
              <w:left w:sz="4" w:val="single" w:color="D8D2C8"/>
              <w:bottom w:sz="4" w:val="single" w:color="D8D2C8"/>
              <w:right w:sz="4" w:val="single" w:color="D8D2C8"/>
            </w:tcBorders>
          </w:tcPr>
          <w:p>
            <w:pPr>
              <w:spacing w:after="0"/>
            </w:pPr>
            <w:r>
              <w:rPr>
                <w:rFonts w:ascii="Georgia" w:hAnsi="Georgia"/>
                <w:color w:val="1F2933"/>
                <w:sz w:val="18"/>
              </w:rPr>
              <w:t>Carry the strongest market lane into Tool 4 for rendering.</w:t>
            </w:r>
          </w:p>
        </w:tc>
      </w:tr>
    </w:tbl>
    <w:p/>
    <w:p>
      <w:pPr>
        <w:pStyle w:val="Heading2"/>
      </w:pPr>
      <w:r>
        <w:t>Recommended sequence</w:t>
      </w:r>
    </w:p>
    <w:p>
      <w:pPr>
        <w:pStyle w:val="ListNumber"/>
        <w:spacing w:after="40"/>
      </w:pPr>
      <w:r>
        <w:rPr>
          <w:rFonts w:ascii="Georgia" w:hAnsi="Georgia"/>
          <w:color w:val="1F2933"/>
          <w:sz w:val="21"/>
        </w:rPr>
        <w:t>Review Tool 3 outputs: evidence patterns, context patterns, value patterns, and positioning hypotheses.</w:t>
      </w:r>
    </w:p>
    <w:p>
      <w:pPr>
        <w:pStyle w:val="ListNumber"/>
        <w:spacing w:after="40"/>
      </w:pPr>
      <w:r>
        <w:rPr>
          <w:rFonts w:ascii="Georgia" w:hAnsi="Georgia"/>
          <w:color w:val="1F2933"/>
          <w:sz w:val="21"/>
        </w:rPr>
        <w:t>Complete Tool 3.5B to test market language, role families, audiences, and lanes.</w:t>
      </w:r>
    </w:p>
    <w:p>
      <w:pPr>
        <w:pStyle w:val="ListNumber"/>
        <w:spacing w:after="40"/>
      </w:pPr>
      <w:r>
        <w:rPr>
          <w:rFonts w:ascii="Georgia" w:hAnsi="Georgia"/>
          <w:color w:val="1F2933"/>
          <w:sz w:val="21"/>
        </w:rPr>
        <w:t>Use Tool 3.5C to choose the strongest lane to carry into Tool 4.</w:t>
      </w:r>
    </w:p>
    <w:p>
      <w:pPr>
        <w:pStyle w:val="ListNumber"/>
        <w:spacing w:after="40"/>
      </w:pPr>
      <w:r>
        <w:rPr>
          <w:rFonts w:ascii="Georgia" w:hAnsi="Georgia"/>
          <w:color w:val="1F2933"/>
          <w:sz w:val="21"/>
        </w:rPr>
        <w:t>Render one selected lane for one audience and one purpose.</w:t>
      </w:r>
    </w:p>
    <w:p>
      <w:pPr>
        <w:pStyle w:val="Heading2"/>
      </w:pPr>
      <w:r>
        <w:t>Output</w:t>
      </w:r>
    </w:p>
    <w:p>
      <w:r>
        <w:rPr>
          <w:rFonts w:ascii="Georgia" w:hAnsi="Georgia"/>
          <w:color w:val="1F2933"/>
        </w:rPr>
        <w:t>The output is not a résumé. The output is a Market Translation Brief that helps answer: what should be rendered, for whom, and why this lane is credible enough to test?</w:t>
      </w:r>
    </w:p>
    <w:p>
      <w:pPr>
        <w:pStyle w:val="Heading2"/>
      </w:pPr>
      <w:r>
        <w:t>Responsible-use reminder</w:t>
      </w:r>
    </w:p>
    <w:p>
      <w:r>
        <w:rPr>
          <w:rFonts w:ascii="Georgia" w:hAnsi="Georgia"/>
          <w:color w:val="1F2933"/>
        </w:rPr>
        <w:t>Use responsibly. These tools are for personal organization and professional reflection. Do not copy, upload, paste, store, or share confidential, proprietary, classified, employer-owned, client-owned, patient, student, coworker, legally restricted, or sensitive personal material in these tools. Use summary-only placeholders when needed. Do not include classified material. Do not paste restricted material into external AI tools unless you are authorized and the tool is approved for that use. Do not publish or share another person's name, contact information, endorsement, or confirming role without permission. These materials are not legal, employment, financial, or career advice.</w:t>
      </w:r>
    </w:p>
    <w:p>
      <w:r>
        <w:rPr>
          <w:rFonts w:ascii="Georgia" w:hAnsi="Georgia"/>
          <w:color w:val="1F2933"/>
        </w:rPr>
        <w:t>Claim carefully. Measure clues are not permission to invent numbers or overstate results. Use measured, observed, or carefully qualified language. If a number cannot be verified, describe the change more generally and keep the claim within what the record can support.</w:t>
      </w:r>
    </w:p>
    <w:sectPr>
      <w:footerReference w:type="default" r:id="rId9"/>
      <w:pgSz w:w="12240" w:h="15840"/>
      <w:pgMar w:top="936" w:right="936" w:bottom="936"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Georgia" w:hAnsi="Georgia"/>
        <w:color w:val="5B6C78"/>
        <w:sz w:val="16"/>
      </w:rPr>
      <w:t>Jeffrey Paul Chamberlain | The Living Professional Record companion tools</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52" w:lineRule="auto"/>
    </w:pPr>
    <w:rPr>
      <w:rFonts w:ascii="Georgia" w:hAnsi="Georgia"/>
      <w:color w:val="1F293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20"/>
      <w:outlineLvl w:val="0"/>
    </w:pPr>
    <w:rPr>
      <w:rFonts w:asciiTheme="majorHAnsi" w:eastAsiaTheme="majorEastAsia" w:hAnsiTheme="majorHAnsi" w:cstheme="majorBidi" w:ascii="Georgia" w:hAnsi="Georgia"/>
      <w:b/>
      <w:bCs/>
      <w:color w:val="0B2A45"/>
      <w:sz w:val="36"/>
      <w:szCs w:val="28"/>
    </w:rPr>
  </w:style>
  <w:style w:type="paragraph" w:styleId="Heading2">
    <w:name w:val="heading 2"/>
    <w:basedOn w:val="Normal"/>
    <w:next w:val="Normal"/>
    <w:link w:val="Heading2Char"/>
    <w:uiPriority w:val="9"/>
    <w:unhideWhenUsed/>
    <w:qFormat/>
    <w:rsid w:val="00FC693F"/>
    <w:pPr>
      <w:keepNext/>
      <w:keepLines/>
      <w:spacing w:before="200" w:after="120"/>
      <w:outlineLvl w:val="1"/>
    </w:pPr>
    <w:rPr>
      <w:rFonts w:asciiTheme="majorHAnsi" w:eastAsiaTheme="majorEastAsia" w:hAnsiTheme="majorHAnsi" w:cstheme="majorBidi" w:ascii="Georgia" w:hAnsi="Georgia"/>
      <w:b/>
      <w:bCs/>
      <w:color w:val="0B2A45"/>
      <w:sz w:val="28"/>
      <w:szCs w:val="26"/>
    </w:rPr>
  </w:style>
  <w:style w:type="paragraph" w:styleId="Heading3">
    <w:name w:val="heading 3"/>
    <w:basedOn w:val="Normal"/>
    <w:next w:val="Normal"/>
    <w:link w:val="Heading3Char"/>
    <w:uiPriority w:val="9"/>
    <w:unhideWhenUsed/>
    <w:qFormat/>
    <w:rsid w:val="00FC693F"/>
    <w:pPr>
      <w:keepNext/>
      <w:keepLines/>
      <w:spacing w:before="200" w:after="120"/>
      <w:outlineLvl w:val="2"/>
    </w:pPr>
    <w:rPr>
      <w:rFonts w:asciiTheme="majorHAnsi" w:eastAsiaTheme="majorEastAsia" w:hAnsiTheme="majorHAnsi" w:cstheme="majorBidi" w:ascii="Georgia" w:hAnsi="Georgia"/>
      <w:b/>
      <w:bCs/>
      <w:color w:val="0B2A45"/>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20" w:line="240" w:lineRule="auto" w:before="0"/>
      <w:contextualSpacing/>
    </w:pPr>
    <w:rPr>
      <w:rFonts w:asciiTheme="majorHAnsi" w:eastAsiaTheme="majorEastAsia" w:hAnsiTheme="majorHAnsi" w:cstheme="majorBidi" w:ascii="Georgia" w:hAnsi="Georgia"/>
      <w:color w:val="17365D"/>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Georgia" w:hAnsi="Georgia"/>
      <w:i/>
      <w:iCs/>
      <w:color w:val="5B6C78"/>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generated by python-docx</dc:description>
  <cp:lastModifiedBy/>
  <cp:revision>1</cp:revision>
  <dcterms:created xsi:type="dcterms:W3CDTF">2013-12-23T23:15:00Z</dcterms:created>
  <dcterms:modified xsi:type="dcterms:W3CDTF">2013-12-23T23:15:00Z</dcterms:modified>
  <cp:category/>
</cp:coreProperties>
</file>