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3A — Positioning Hypothesis Guide</w:t>
      </w:r>
    </w:p>
    <w:p>
      <w:r>
        <w:rPr>
          <w:i/>
          <w:color w:val="5F6B7A"/>
          <w:sz w:val="22"/>
        </w:rPr>
        <w:t>Identify value patterns and test possible audiences</w:t>
      </w:r>
    </w:p>
    <w:p>
      <w:r>
        <w:rPr>
          <w:color w:val="B76535"/>
          <w:sz w:val="18"/>
        </w:rPr>
        <w:t>The Living Professional Record | The Professional Truth Trilogy</w:t>
      </w:r>
    </w:p>
    <w:p/>
    <w:p>
      <w:pPr>
        <w:pStyle w:val="Heading1"/>
        <w:spacing w:before="160" w:after="80"/>
      </w:pPr>
      <w:r>
        <w:t>Tool 3: Positioning Hypothesis</w:t>
      </w:r>
    </w:p>
    <w:p>
      <w:pPr>
        <w:spacing w:after="80" w:line="259" w:lineRule="auto"/>
      </w:pPr>
      <w:r>
        <w:rPr>
          <w:b/>
          <w:i w:val="0"/>
        </w:rPr>
        <w:t>Use this guide to look across evidence and context briefs and form practical hypotheses about where your measured value may matter, to whom, and why.</w:t>
      </w:r>
    </w:p>
    <w:p>
      <w:pPr>
        <w:pStyle w:val="Heading2"/>
        <w:spacing w:before="140" w:after="40"/>
      </w:pPr>
      <w:r>
        <w:t>Core principle</w:t>
      </w:r>
    </w:p>
    <w:p>
      <w:pPr>
        <w:spacing w:after="80" w:line="259" w:lineRule="auto"/>
      </w:pPr>
      <w:r>
        <w:rPr>
          <w:b/>
          <w:i w:val="0"/>
        </w:rPr>
        <w:t>The résumé is a rendering. The record is the source of truth.</w:t>
      </w:r>
    </w:p>
    <w:p>
      <w:pPr>
        <w:spacing w:after="80" w:line="259" w:lineRule="auto"/>
      </w:pPr>
      <w:r>
        <w:rPr>
          <w:b w:val="0"/>
          <w:i w:val="0"/>
        </w:rPr>
        <w:t>A professional rendering becomes stronger when it can trace back to evidence, context, measurable value, and responsible claim boundaries.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Shared translation standard</w:t>
            </w:r>
          </w:p>
          <w:p>
            <w:pPr>
              <w:spacing w:after="0"/>
            </w:pPr>
            <w:r>
              <w:rPr>
                <w:sz w:val="19"/>
              </w:rPr>
              <w:t>What changed, how much, for whom, under what conditions, and what evidence supports it?</w:t>
            </w:r>
          </w:p>
        </w:tc>
      </w:tr>
    </w:tbl>
    <w:p>
      <w:pPr>
        <w:pStyle w:val="Heading2"/>
        <w:spacing w:before="140" w:after="40"/>
      </w:pPr>
      <w:r>
        <w:t>Where this fits in the Record-to-Rendering Map</w:t>
      </w:r>
    </w:p>
    <w:p>
      <w:pPr>
        <w:spacing w:after="80" w:line="259" w:lineRule="auto"/>
      </w:pPr>
      <w:r>
        <w:rPr>
          <w:b w:val="0"/>
          <w:i w:val="0"/>
        </w:rPr>
        <w:t>Experience → Evidence → Measure Clues → Context → Before/After → Value Pattern → Audience → Rendering → Feedback → Revision</w:t>
      </w:r>
    </w:p>
    <w:p>
      <w:pPr>
        <w:spacing w:after="80" w:line="259" w:lineRule="auto"/>
      </w:pPr>
      <w:r>
        <w:rPr>
          <w:b w:val="0"/>
          <w:i w:val="0"/>
        </w:rPr>
        <w:t>This tool focuses on: Context → Before/After → Value Pattern → Audience.</w:t>
      </w:r>
    </w:p>
    <w:p>
      <w:pPr>
        <w:pStyle w:val="Heading2"/>
        <w:spacing w:before="140" w:after="40"/>
      </w:pPr>
      <w:r>
        <w:t>Privacy and responsible-use note</w:t>
      </w:r>
    </w:p>
    <w:p>
      <w:pPr>
        <w:spacing w:after="80" w:line="259" w:lineRule="auto"/>
      </w:pPr>
      <w:r>
        <w:rPr>
          <w:b/>
        </w:rPr>
        <w:t>Use responsibly.</w:t>
      </w:r>
      <w:r>
        <w:t xml:space="preserve">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pPr/>
      <w:r>
        <w:rPr>
          <w:b/>
        </w:rPr>
        <w:t>Claim carefully.</w:t>
      </w:r>
      <w:r>
        <w:t xml:space="preserve"> Measure clues are not permission to invent numbers or overstate results. Use measured, observed, or carefully qualified language. If a number cannot be verified, describe the change more generally and keep the claim within what the record can support.</w:t>
      </w:r>
    </w:p>
    <w:p>
      <w:pPr>
        <w:pStyle w:val="Heading2"/>
        <w:spacing w:before="140" w:after="40"/>
      </w:pPr>
      <w:r>
        <w:t>What a positioning hypothesis is</w:t>
      </w:r>
    </w:p>
    <w:p>
      <w:pPr>
        <w:spacing w:after="80" w:line="259" w:lineRule="auto"/>
      </w:pPr>
      <w:r>
        <w:rPr>
          <w:b w:val="0"/>
          <w:i w:val="0"/>
        </w:rPr>
        <w:t>A positioning hypothesis is a testable statement about possible fit. It is not a personal brand, final job title, or promise. It connects evidence patterns, value patterns, constraints, and possible audiences.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Hypothesis structure</w:t>
            </w:r>
          </w:p>
          <w:p>
            <w:pPr>
              <w:spacing w:after="0"/>
            </w:pPr>
            <w:r>
              <w:rPr>
                <w:sz w:val="19"/>
              </w:rPr>
              <w:t>I may be well positioned for [role/function/problem/audience] because my record shows [evidence pattern] producing [specific value pattern], especially in situations where [constraint/environment/problem]. This needs to be tested against [audience, postings, conversations, feedback, or examples].</w:t>
            </w:r>
          </w:p>
        </w:tc>
      </w:tr>
    </w:tbl>
    <w:p>
      <w:pPr>
        <w:pStyle w:val="Heading2"/>
        <w:spacing w:before="140" w:after="40"/>
      </w:pPr>
      <w:r>
        <w:t>Value patterns across the record</w:t>
      </w:r>
    </w:p>
    <w:p>
      <w:pPr>
        <w:spacing w:after="80" w:line="259" w:lineRule="auto"/>
      </w:pPr>
      <w:r>
        <w:rPr>
          <w:b w:val="0"/>
          <w:i w:val="0"/>
        </w:rPr>
        <w:t>Tool 3 asks not only what kind of work appears in the record, but what kind of value appears repeatedly.</w:t>
      </w:r>
    </w:p>
    <w:p>
      <w:pPr>
        <w:spacing w:after="40"/>
        <w:ind w:left="259" w:hanging="173"/>
      </w:pPr>
      <w:r>
        <w:rPr>
          <w:sz w:val="20"/>
        </w:rPr>
        <w:t>• Reduced time, delay, rework, errors, risk, confusion, cost, or escalation.</w:t>
      </w:r>
    </w:p>
    <w:p>
      <w:pPr>
        <w:spacing w:after="40"/>
        <w:ind w:left="259" w:hanging="173"/>
      </w:pPr>
      <w:r>
        <w:rPr>
          <w:sz w:val="20"/>
        </w:rPr>
        <w:t>• Increased adoption, use, clarity, reliability, visibility, readiness, revenue, quality, or trust.</w:t>
      </w:r>
    </w:p>
    <w:p>
      <w:pPr>
        <w:spacing w:after="40"/>
        <w:ind w:left="259" w:hanging="173"/>
      </w:pPr>
      <w:r>
        <w:rPr>
          <w:sz w:val="20"/>
        </w:rPr>
        <w:t>• Stabilized operations, relationships, teams, processes, or transitions.</w:t>
      </w:r>
    </w:p>
    <w:p>
      <w:pPr>
        <w:spacing w:after="40"/>
        <w:ind w:left="259" w:hanging="173"/>
      </w:pPr>
      <w:r>
        <w:rPr>
          <w:sz w:val="20"/>
        </w:rPr>
        <w:t>• Enabled decisions, handoffs, governance, onboarding, planning, or recovery.</w:t>
      </w:r>
    </w:p>
    <w:p>
      <w:pPr>
        <w:spacing w:after="40"/>
        <w:ind w:left="259" w:hanging="173"/>
      </w:pPr>
      <w:r>
        <w:rPr>
          <w:sz w:val="20"/>
        </w:rPr>
        <w:t>• Managed scale, volume, complexity, ambiguity, constraints, or cross-functional pressure.</w:t>
      </w:r>
    </w:p>
    <w:p>
      <w:pPr>
        <w:pStyle w:val="Heading2"/>
        <w:spacing w:before="140" w:after="40"/>
      </w:pPr>
      <w:r>
        <w:t>What this is not</w:t>
      </w:r>
    </w:p>
    <w:p>
      <w:pPr>
        <w:spacing w:after="40"/>
        <w:ind w:left="259" w:hanging="173"/>
      </w:pPr>
      <w:r>
        <w:rPr>
          <w:sz w:val="20"/>
        </w:rPr>
        <w:t>• Not a résumé.</w:t>
      </w:r>
    </w:p>
    <w:p>
      <w:pPr>
        <w:spacing w:after="40"/>
        <w:ind w:left="259" w:hanging="173"/>
      </w:pPr>
      <w:r>
        <w:rPr>
          <w:sz w:val="20"/>
        </w:rPr>
        <w:t>• Not a personal brand exercise.</w:t>
      </w:r>
    </w:p>
    <w:p>
      <w:pPr>
        <w:spacing w:after="40"/>
        <w:ind w:left="259" w:hanging="173"/>
      </w:pPr>
      <w:r>
        <w:rPr>
          <w:sz w:val="20"/>
        </w:rPr>
        <w:t>• Not a permanent career decision.</w:t>
      </w:r>
    </w:p>
    <w:p>
      <w:pPr>
        <w:spacing w:after="40"/>
        <w:ind w:left="259" w:hanging="173"/>
      </w:pPr>
      <w:r>
        <w:rPr>
          <w:sz w:val="20"/>
        </w:rPr>
        <w:t>• Not a claim that every audience will value the same evidence.</w:t>
      </w:r>
    </w:p>
    <w:p>
      <w:pPr>
        <w:spacing w:after="40"/>
        <w:ind w:left="259" w:hanging="173"/>
      </w:pPr>
      <w:r>
        <w:rPr>
          <w:sz w:val="20"/>
        </w:rPr>
        <w:t>• Not permission to overstate the record.</w:t>
      </w:r>
    </w:p>
    <w:p>
      <w:pPr>
        <w:pStyle w:val="Heading2"/>
        <w:spacing w:before="140" w:after="40"/>
      </w:pPr>
      <w:r>
        <w:t>Simple example</w:t>
      </w:r>
    </w:p>
    <w:p>
      <w:pPr>
        <w:spacing w:after="80" w:line="259" w:lineRule="auto"/>
      </w:pPr>
      <w:r>
        <w:rPr>
          <w:b w:val="0"/>
          <w:i w:val="0"/>
        </w:rPr>
        <w:t>Value pattern: replaced inconsistent local practice with shared operating guidance. Possible audience: distributed operations teams. Hypothesis: I may be well positioned for operations enablement or process-improvement roles because my record shows evidence of turning inconsistent practices into repeatable guidance, especially in environments with multiple locations and limited implementation time. This needs to be tested against job postings, conversations, and examples from operations teams.</w:t>
      </w:r>
    </w:p>
    <w:p>
      <w:pPr>
        <w:pStyle w:val="Heading2"/>
        <w:spacing w:before="140" w:after="40"/>
      </w:pPr>
      <w:r>
        <w:t>Closing note</w:t>
      </w:r>
    </w:p>
    <w:p>
      <w:pPr>
        <w:spacing w:after="80" w:line="259" w:lineRule="auto"/>
      </w:pPr>
      <w:r>
        <w:rPr>
          <w:b w:val="0"/>
          <w:i w:val="0"/>
        </w:rPr>
        <w:t>Positioning is not pretending to be something. It is testing where the truth in the record may be useful.</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