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4A — Record-to-Rendering Guide</w:t>
      </w:r>
    </w:p>
    <w:p>
      <w:r>
        <w:rPr>
          <w:i/>
          <w:color w:val="5F6B7A"/>
          <w:sz w:val="22"/>
        </w:rPr>
        <w:t>Translate the record into a specific surface for a specific audience</w:t>
      </w:r>
    </w:p>
    <w:p>
      <w:r>
        <w:rPr>
          <w:color w:val="B76535"/>
          <w:sz w:val="18"/>
        </w:rPr>
        <w:t>The Living Professional Record | The Professional Truth Trilogy</w:t>
      </w:r>
    </w:p>
    <w:p/>
    <w:p>
      <w:pPr>
        <w:pStyle w:val="Heading1"/>
        <w:spacing w:before="160" w:after="80"/>
      </w:pPr>
      <w:r>
        <w:t>Tool 4: Record-to-Rendering</w:t>
      </w:r>
    </w:p>
    <w:p>
      <w:pPr>
        <w:spacing w:after="80" w:line="259" w:lineRule="auto"/>
      </w:pPr>
      <w:r>
        <w:rPr>
          <w:b/>
          <w:i w:val="0"/>
        </w:rPr>
        <w:t>Use this guide to turn selected material from your Living Professional Record into a specific, evidence-backed professional rendering for a specific audience.</w:t>
      </w:r>
    </w:p>
    <w:p>
      <w:pPr>
        <w:pStyle w:val="Heading2"/>
        <w:spacing w:before="140" w:after="40"/>
      </w:pPr>
      <w:r>
        <w:t>Core principle</w:t>
      </w:r>
    </w:p>
    <w:p>
      <w:pPr>
        <w:spacing w:after="80" w:line="259" w:lineRule="auto"/>
      </w:pPr>
      <w:r>
        <w:rPr>
          <w:b/>
          <w:i w:val="0"/>
        </w:rPr>
        <w:t>The résumé is a rendering. The record is the source of truth.</w:t>
      </w:r>
    </w:p>
    <w:p>
      <w:pPr>
        <w:spacing w:after="80" w:line="259" w:lineRule="auto"/>
      </w:pPr>
      <w:r>
        <w:rPr>
          <w:b w:val="0"/>
          <w:i w:val="0"/>
        </w:rPr>
        <w:t>A professional rendering becomes stronger when it can trace back to evidence, context, measurable value, and responsible claim boundaries.</w:t>
      </w:r>
    </w:p>
    <w:tbl>
      <w:tblPr>
        <w:tblW w:type="auto" w:w="0"/>
        <w:jc w:val="center"/>
        <w:tblLook w:firstColumn="1" w:firstRow="1" w:lastColumn="0" w:lastRow="0" w:noHBand="0" w:noVBand="1" w:val="04A0"/>
        <w:tblBorders>
          <w:top w:val="single" w:sz="6" w:space="0" w:color="E2D9D0"/>
          <w:left w:val="single" w:sz="6" w:space="0" w:color="E2D9D0"/>
          <w:bottom w:val="single" w:sz="6" w:space="0" w:color="E2D9D0"/>
          <w:right w:val="single" w:sz="6" w:space="0" w:color="E2D9D0"/>
          <w:insideH w:val="single" w:sz="6" w:space="0" w:color="E2D9D0"/>
          <w:insideV w:val="single" w:sz="6" w:space="0" w:color="E2D9D0"/>
        </w:tblBorders>
      </w:tblPr>
      <w:tblGrid>
        <w:gridCol w:w="10368"/>
      </w:tblGrid>
      <w:tr>
        <w:tc>
          <w:tcPr>
            <w:tcW w:type="dxa" w:w="10368"/>
            <w:shd w:fill="F3EEE8"/>
          </w:tcPr>
          <w:p>
            <w:pPr>
              <w:spacing w:after="40"/>
            </w:pPr>
            <w:r>
              <w:rPr>
                <w:b/>
                <w:color w:val="0B2A45"/>
                <w:sz w:val="21"/>
              </w:rPr>
              <w:t>Shared translation standard</w:t>
            </w:r>
          </w:p>
          <w:p>
            <w:pPr>
              <w:spacing w:after="0"/>
            </w:pPr>
            <w:r>
              <w:rPr>
                <w:sz w:val="19"/>
              </w:rPr>
              <w:t>What changed, how much, for whom, under what conditions, and what evidence supports it?</w:t>
            </w:r>
          </w:p>
        </w:tc>
      </w:tr>
    </w:tbl>
    <w:p>
      <w:pPr>
        <w:pStyle w:val="Heading2"/>
        <w:spacing w:before="140" w:after="40"/>
      </w:pPr>
      <w:r>
        <w:t>Where this fits in the Record-to-Rendering Map</w:t>
      </w:r>
    </w:p>
    <w:p>
      <w:pPr>
        <w:spacing w:after="80" w:line="259" w:lineRule="auto"/>
      </w:pPr>
      <w:r>
        <w:rPr>
          <w:b w:val="0"/>
          <w:i w:val="0"/>
        </w:rPr>
        <w:t>Experience → Evidence → Measure Clues → Context → Before/After → Value Pattern → Audience → Rendering → Feedback → Revision</w:t>
      </w:r>
    </w:p>
    <w:p>
      <w:pPr>
        <w:spacing w:after="80" w:line="259" w:lineRule="auto"/>
      </w:pPr>
      <w:r>
        <w:rPr>
          <w:b w:val="0"/>
          <w:i w:val="0"/>
        </w:rPr>
        <w:t>This tool focuses on: Evidence → Context → Interpretation → Positioning → Target Audience → Rendering.</w:t>
      </w:r>
    </w:p>
    <w:p>
      <w:pPr>
        <w:pStyle w:val="Heading2"/>
        <w:spacing w:before="140" w:after="40"/>
      </w:pPr>
      <w:r>
        <w:t>Privacy and responsible-use note</w:t>
      </w:r>
    </w:p>
    <w:p>
      <w:pPr>
        <w:spacing w:after="80" w:line="259" w:lineRule="auto"/>
      </w:pPr>
      <w:r>
        <w:rPr>
          <w:b/>
        </w:rPr>
        <w:t>Use responsibly.</w:t>
      </w:r>
      <w:r>
        <w:t xml:space="preserve"> These tools are for personal organization and professional reflection. Do not copy, upload, paste, store, or share confidential, proprietary, classified, employer-owned, client-owned, patient, student, coworker, legally restricted, or sensitive personal material in these tools. Use summary-only placeholders when needed. Do not include classified material. Do not paste restricted material into external AI tools unless you are authorized and the tool is approved for that use. Do not publish or share another person's name, contact information, endorsement, or confirming role without permission. These materials are not legal, employment, financial, or career advice.</w:t>
      </w:r>
    </w:p>
    <w:p>
      <w:pPr/>
      <w:r>
        <w:rPr>
          <w:b/>
        </w:rPr>
        <w:t>Claim carefully.</w:t>
      </w:r>
      <w:r>
        <w:t xml:space="preserve"> Measure clues are not permission to invent numbers or overstate results. Use measured, observed, or carefully qualified language. If a number cannot be verified, describe the change more generally and keep the claim within what the record can support.</w:t>
      </w:r>
    </w:p>
    <w:p>
      <w:pPr>
        <w:pStyle w:val="Heading2"/>
        <w:spacing w:before="140" w:after="40"/>
      </w:pPr>
      <w:r>
        <w:t>What rendering means</w:t>
      </w:r>
    </w:p>
    <w:p>
      <w:pPr>
        <w:spacing w:after="80" w:line="259" w:lineRule="auto"/>
      </w:pPr>
      <w:r>
        <w:rPr>
          <w:b w:val="0"/>
          <w:i w:val="0"/>
        </w:rPr>
        <w:t>A rendering is an audience-specific surface created from the Living Professional Record. A résumé bullet compresses. A LinkedIn paragraph explains publicly. A professional bio introduces. An interview answer rehydrates. A portfolio summary demonstrates. A proposal paragraph connects evidence to a problem. Each rendering leaves something out. Responsible rendering leaves out the right things while carrying forward enough truth to be useful and defensible.</w:t>
      </w:r>
    </w:p>
    <w:p>
      <w:pPr>
        <w:pStyle w:val="Heading2"/>
        <w:spacing w:before="140" w:after="40"/>
      </w:pPr>
      <w:r>
        <w:t>Why audience matters</w:t>
      </w:r>
    </w:p>
    <w:p>
      <w:pPr>
        <w:spacing w:after="80" w:line="259" w:lineRule="auto"/>
      </w:pPr>
      <w:r>
        <w:rPr>
          <w:b w:val="0"/>
          <w:i w:val="0"/>
        </w:rPr>
        <w:t>Different audiences need different renderings from the same record. A recruiter may need quick role relevance. A hiring manager may need scope, judgment, and results. A client may need to understand what problem you can help solve. A portfolio reader may need to see what you made, why it mattered, and what changed.</w:t>
      </w:r>
    </w:p>
    <w:p>
      <w:pPr>
        <w:pStyle w:val="Heading2"/>
        <w:spacing w:before="140" w:after="40"/>
      </w:pPr>
      <w:r>
        <w:t>Measures of performance and effectiveness</w:t>
      </w:r>
    </w:p>
    <w:p>
      <w:pPr>
        <w:spacing w:after="80" w:line="259" w:lineRule="auto"/>
      </w:pPr>
      <w:r>
        <w:rPr>
          <w:b w:val="0"/>
          <w:i w:val="0"/>
        </w:rPr>
        <w:t>A Measure of Performance shows what work was performed, at what scope, and under what conditions. A Measure of Effectiveness shows what changed because the work was performed. A rendering that only names performance may sound busy. A rendering that includes effectiveness shows value.</w:t>
      </w:r>
    </w:p>
    <w:p>
      <w:pPr>
        <w:spacing w:after="40"/>
        <w:ind w:left="259" w:hanging="173"/>
      </w:pPr>
      <w:r>
        <w:rPr>
          <w:sz w:val="20"/>
        </w:rPr>
        <w:t>• Performance examples: processed 80–100 weekly requests; managed a 14-person team; trained 6 cohorts; governed a $65M portfolio.</w:t>
      </w:r>
    </w:p>
    <w:p>
      <w:pPr>
        <w:spacing w:after="40"/>
        <w:ind w:left="259" w:hanging="173"/>
      </w:pPr>
      <w:r>
        <w:rPr>
          <w:sz w:val="20"/>
        </w:rPr>
        <w:t>• Effectiveness examples: reduced cycle time from 10 days to 4; replaced 5 inconsistent checklists with 1 shared guide; gave leaders visibility into 23 open blockers.</w:t>
      </w:r>
    </w:p>
    <w:p>
      <w:pPr>
        <w:spacing w:after="40"/>
        <w:ind w:left="259" w:hanging="173"/>
      </w:pPr>
      <w:r>
        <w:rPr>
          <w:sz w:val="20"/>
        </w:rPr>
        <w:t>• Qualified but specific measures are allowed when exact numbers do not exist: reduced repeated handoff questions from daily follow-ups to occasional exceptions.</w:t>
      </w:r>
    </w:p>
    <w:p>
      <w:pPr>
        <w:pStyle w:val="Heading2"/>
        <w:spacing w:before="140" w:after="40"/>
      </w:pPr>
      <w:r>
        <w:t>Types of supported measures</w:t>
      </w:r>
    </w:p>
    <w:p>
      <w:pPr>
        <w:spacing w:after="40"/>
        <w:ind w:left="259" w:hanging="173"/>
      </w:pPr>
      <w:r>
        <w:rPr>
          <w:sz w:val="20"/>
        </w:rPr>
        <w:t>• Exact quantified measure</w:t>
      </w:r>
    </w:p>
    <w:p>
      <w:pPr>
        <w:spacing w:after="40"/>
        <w:ind w:left="259" w:hanging="173"/>
      </w:pPr>
      <w:r>
        <w:rPr>
          <w:sz w:val="20"/>
        </w:rPr>
        <w:t>• Bounded measure</w:t>
      </w:r>
    </w:p>
    <w:p>
      <w:pPr>
        <w:spacing w:after="40"/>
        <w:ind w:left="259" w:hanging="173"/>
      </w:pPr>
      <w:r>
        <w:rPr>
          <w:sz w:val="20"/>
        </w:rPr>
        <w:t>• Before/after measure</w:t>
      </w:r>
    </w:p>
    <w:p>
      <w:pPr>
        <w:spacing w:after="40"/>
        <w:ind w:left="259" w:hanging="173"/>
      </w:pPr>
      <w:r>
        <w:rPr>
          <w:sz w:val="20"/>
        </w:rPr>
        <w:t>• Frequency or cadence measure</w:t>
      </w:r>
    </w:p>
    <w:p>
      <w:pPr>
        <w:spacing w:after="40"/>
        <w:ind w:left="259" w:hanging="173"/>
      </w:pPr>
      <w:r>
        <w:rPr>
          <w:sz w:val="20"/>
        </w:rPr>
        <w:t>• Adoption or use measure</w:t>
      </w:r>
    </w:p>
    <w:p>
      <w:pPr>
        <w:spacing w:after="40"/>
        <w:ind w:left="259" w:hanging="173"/>
      </w:pPr>
      <w:r>
        <w:rPr>
          <w:sz w:val="20"/>
        </w:rPr>
        <w:t>• Risk, prevention, or protection measure</w:t>
      </w:r>
    </w:p>
    <w:p>
      <w:pPr>
        <w:spacing w:after="40"/>
        <w:ind w:left="259" w:hanging="173"/>
      </w:pPr>
      <w:r>
        <w:rPr>
          <w:sz w:val="20"/>
        </w:rPr>
        <w:t>• Decision-enabled measure</w:t>
      </w:r>
    </w:p>
    <w:p>
      <w:pPr>
        <w:spacing w:after="40"/>
        <w:ind w:left="259" w:hanging="173"/>
      </w:pPr>
      <w:r>
        <w:rPr>
          <w:sz w:val="20"/>
        </w:rPr>
        <w:t>• Qualified but specific measure</w:t>
      </w:r>
    </w:p>
    <w:p>
      <w:pPr>
        <w:pStyle w:val="Heading2"/>
        <w:spacing w:before="140" w:after="40"/>
      </w:pPr>
      <w:r>
        <w:t>Simple example: one record item, several renderings</w:t>
      </w:r>
    </w:p>
    <w:p>
      <w:pPr>
        <w:spacing w:after="80" w:line="259" w:lineRule="auto"/>
      </w:pPr>
      <w:r>
        <w:rPr>
          <w:b w:val="0"/>
          <w:i w:val="0"/>
        </w:rPr>
        <w:t>Record item: Created a first-week onboarding checklist across three locations during a period of inconsistent local practice and limited manager time.</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5184"/>
        <w:gridCol w:w="5184"/>
      </w:tblGrid>
      <w:tr>
        <w:trPr>
          <w:tblHeader w:val="true"/>
        </w:trPr>
        <w:tc>
          <w:tcPr>
            <w:tcW w:type="dxa" w:w="2304"/>
            <w:shd w:fill="F7F3EF"/>
          </w:tcPr>
          <w:p>
            <w:r/>
            <w:r>
              <w:rPr>
                <w:b/>
                <w:color w:val="0B2A45"/>
                <w:sz w:val="17"/>
              </w:rPr>
              <w:t>Rendering type</w:t>
            </w:r>
          </w:p>
        </w:tc>
        <w:tc>
          <w:tcPr>
            <w:tcW w:type="dxa" w:w="8352"/>
            <w:shd w:fill="F7F3EF"/>
          </w:tcPr>
          <w:p>
            <w:r/>
            <w:r>
              <w:rPr>
                <w:b/>
                <w:color w:val="0B2A45"/>
                <w:sz w:val="17"/>
              </w:rPr>
              <w:t>Example</w:t>
            </w:r>
          </w:p>
        </w:tc>
      </w:tr>
      <w:tr>
        <w:tc>
          <w:tcPr>
            <w:tcW w:type="dxa" w:w="2304"/>
            <w:vAlign w:val="top"/>
          </w:tcPr>
          <w:p>
            <w:r/>
            <w:r>
              <w:rPr>
                <w:b w:val="0"/>
                <w:sz w:val="17"/>
              </w:rPr>
              <w:t>Résumé bullet</w:t>
            </w:r>
          </w:p>
        </w:tc>
        <w:tc>
          <w:tcPr>
            <w:tcW w:type="dxa" w:w="8352"/>
            <w:vAlign w:val="top"/>
          </w:tcPr>
          <w:p>
            <w:r/>
            <w:r>
              <w:rPr>
                <w:b w:val="0"/>
                <w:sz w:val="17"/>
              </w:rPr>
              <w:t>Created first-week onboarding guidance across three locations, clarifying manager responsibilities and reducing repeated handoff questions during a period of inconsistent local practice.</w:t>
            </w:r>
          </w:p>
        </w:tc>
      </w:tr>
      <w:tr>
        <w:tc>
          <w:tcPr>
            <w:tcW w:type="dxa" w:w="2304"/>
            <w:vAlign w:val="top"/>
          </w:tcPr>
          <w:p>
            <w:r/>
            <w:r>
              <w:rPr>
                <w:b w:val="0"/>
                <w:sz w:val="17"/>
              </w:rPr>
              <w:t>LinkedIn paragraph</w:t>
            </w:r>
          </w:p>
        </w:tc>
        <w:tc>
          <w:tcPr>
            <w:tcW w:type="dxa" w:w="8352"/>
            <w:vAlign w:val="top"/>
          </w:tcPr>
          <w:p>
            <w:r/>
            <w:r>
              <w:rPr>
                <w:b w:val="0"/>
                <w:sz w:val="17"/>
              </w:rPr>
              <w:t>I often work where useful practice exists but is scattered. In one onboarding project, I helped translate inconsistent local manager habits into a shared first-week guide that made expectations easier to see and repeat.</w:t>
            </w:r>
          </w:p>
        </w:tc>
      </w:tr>
      <w:tr>
        <w:tc>
          <w:tcPr>
            <w:tcW w:type="dxa" w:w="2304"/>
            <w:vAlign w:val="top"/>
          </w:tcPr>
          <w:p>
            <w:r/>
            <w:r>
              <w:rPr>
                <w:b w:val="0"/>
                <w:sz w:val="17"/>
              </w:rPr>
              <w:t>Interview answer</w:t>
            </w:r>
          </w:p>
        </w:tc>
        <w:tc>
          <w:tcPr>
            <w:tcW w:type="dxa" w:w="8352"/>
            <w:vAlign w:val="top"/>
          </w:tcPr>
          <w:p>
            <w:r/>
            <w:r>
              <w:rPr>
                <w:b w:val="0"/>
                <w:sz w:val="17"/>
              </w:rPr>
              <w:t>The issue was not that managers did not care; it was that each location had a different memory of the process. I built a practical first-week checklist so responsibilities were visible, repeatable, and easier to hand off.</w:t>
            </w:r>
          </w:p>
        </w:tc>
      </w:tr>
      <w:tr>
        <w:tc>
          <w:tcPr>
            <w:tcW w:type="dxa" w:w="2304"/>
            <w:vAlign w:val="top"/>
          </w:tcPr>
          <w:p>
            <w:r/>
            <w:r>
              <w:rPr>
                <w:b w:val="0"/>
                <w:sz w:val="17"/>
              </w:rPr>
              <w:t>Portfolio summary</w:t>
            </w:r>
          </w:p>
        </w:tc>
        <w:tc>
          <w:tcPr>
            <w:tcW w:type="dxa" w:w="8352"/>
            <w:vAlign w:val="top"/>
          </w:tcPr>
          <w:p>
            <w:r/>
            <w:r>
              <w:rPr>
                <w:b w:val="0"/>
                <w:sz w:val="17"/>
              </w:rPr>
              <w:t>Cross-location onboarding guide: turned informal manager knowledge into a shared checklist used to clarify first-week expectations across three locations.</w:t>
            </w:r>
          </w:p>
        </w:tc>
      </w:tr>
    </w:tbl>
    <w:p/>
    <w:p>
      <w:pPr>
        <w:pStyle w:val="Heading2"/>
        <w:spacing w:before="140" w:after="40"/>
      </w:pPr>
      <w:r>
        <w:t>Closing note</w:t>
      </w:r>
    </w:p>
    <w:p>
      <w:pPr>
        <w:spacing w:after="80" w:line="259" w:lineRule="auto"/>
      </w:pPr>
      <w:r>
        <w:rPr>
          <w:b w:val="0"/>
          <w:i w:val="0"/>
        </w:rPr>
        <w:t>The goal is not to make the work sound bigger than it was. The goal is to make the real value of the work harder to miss.</w:t>
      </w:r>
    </w:p>
    <w:p/>
    <w:sectPr w:rsidR="00FC693F" w:rsidRPr="0006063C" w:rsidSect="00034616">
      <w:foot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