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5A — Living Professional Record Assembly Guide</w:t>
      </w:r>
    </w:p>
    <w:p>
      <w:r>
        <w:rPr>
          <w:i/>
          <w:color w:val="5F6B7A"/>
          <w:sz w:val="22"/>
        </w:rPr>
        <w:t>Assemble the record beneath future renderings</w:t>
      </w:r>
    </w:p>
    <w:p>
      <w:r>
        <w:rPr>
          <w:color w:val="B76535"/>
          <w:sz w:val="18"/>
        </w:rPr>
        <w:t>The Living Professional Record | The Professional Truth Trilogy</w:t>
      </w:r>
    </w:p>
    <w:p/>
    <w:p>
      <w:pPr>
        <w:pStyle w:val="Heading1"/>
        <w:spacing w:before="160" w:after="80"/>
      </w:pPr>
      <w:r>
        <w:t>Tool 5: Living Professional Record Assembly</w:t>
      </w:r>
    </w:p>
    <w:p>
      <w:pPr>
        <w:spacing w:after="80" w:line="259" w:lineRule="auto"/>
      </w:pPr>
      <w:r>
        <w:rPr>
          <w:b/>
          <w:i w:val="0"/>
        </w:rPr>
        <w:t>Use this guide to assemble your evidence, context, positioning, renderings, privacy boundaries, feedback, and revision notes into a Living Professional Record you can actually use over time.</w:t>
      </w:r>
    </w:p>
    <w:p>
      <w:pPr>
        <w:pStyle w:val="Heading2"/>
        <w:spacing w:before="140" w:after="40"/>
      </w:pPr>
      <w:r>
        <w:t>Core principle</w:t>
      </w:r>
    </w:p>
    <w:p>
      <w:pPr>
        <w:spacing w:after="80" w:line="259" w:lineRule="auto"/>
      </w:pPr>
      <w:r>
        <w:rPr>
          <w:b/>
          <w:i w:val="0"/>
        </w:rPr>
        <w:t>The résumé is a rendering. The record is the source of truth.</w:t>
      </w:r>
    </w:p>
    <w:p>
      <w:pPr>
        <w:spacing w:after="80" w:line="259" w:lineRule="auto"/>
      </w:pPr>
      <w:r>
        <w:rPr>
          <w:b w:val="0"/>
          <w:i w:val="0"/>
        </w:rPr>
        <w:t>A Living Professional Record gives you a private source layer beneath résumés, LinkedIn profiles, bios, interviews, portfolios, proposals, and future AI-assisted professional materials.</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Shared translation standard</w:t>
            </w:r>
          </w:p>
          <w:p>
            <w:pPr>
              <w:spacing w:after="0"/>
            </w:pPr>
            <w:r>
              <w:rPr>
                <w:sz w:val="19"/>
              </w:rPr>
              <w:t>What changed, how much, for whom, under what conditions, and what evidence supports it?</w:t>
            </w:r>
          </w:p>
        </w:tc>
      </w:tr>
    </w:tbl>
    <w:p>
      <w:pPr>
        <w:pStyle w:val="Heading2"/>
        <w:spacing w:before="140" w:after="40"/>
      </w:pPr>
      <w:r>
        <w:t>Where this fits in the Record-to-Rendering Map</w:t>
      </w:r>
    </w:p>
    <w:p>
      <w:pPr>
        <w:spacing w:after="80" w:line="259" w:lineRule="auto"/>
      </w:pPr>
      <w:r>
        <w:rPr>
          <w:b w:val="0"/>
          <w:i w:val="0"/>
        </w:rPr>
        <w:t>Experience → Evidence → Measure Clues → Context → Before/After → Value Pattern → Audience → Rendering → Feedback → Revision</w:t>
      </w:r>
    </w:p>
    <w:p>
      <w:pPr>
        <w:spacing w:after="80" w:line="259" w:lineRule="auto"/>
      </w:pPr>
      <w:r>
        <w:rPr>
          <w:b w:val="0"/>
          <w:i w:val="0"/>
        </w:rPr>
        <w:t>Tools 1–4 helped you identify evidence, reconstruct context, test positioning, and create audience-specific renderings. Tool 5 keeps those layers connected so future renderings can be created, tested, corrected, and revised without starting from scratch.</w:t>
      </w:r>
    </w:p>
    <w:p>
      <w:pPr>
        <w:pStyle w:val="Heading2"/>
        <w:spacing w:before="140" w:after="40"/>
      </w:pPr>
      <w:r>
        <w:t>Before you begin</w:t>
      </w:r>
    </w:p>
    <w:p>
      <w:pPr>
        <w:spacing w:after="80" w:line="259" w:lineRule="auto"/>
      </w:pPr>
      <w:r>
        <w:rPr>
          <w:b w:val="0"/>
          <w:i w:val="0"/>
        </w:rPr>
        <w:t>Gather the outputs you created in Tools 1–4. You do not need to assemble your whole career. Start with one role, project, transition, season, or body of work.</w:t>
      </w:r>
    </w:p>
    <w:p>
      <w:pPr>
        <w:spacing w:after="40"/>
        <w:ind w:left="259" w:hanging="173"/>
      </w:pPr>
      <w:r>
        <w:rPr>
          <w:sz w:val="20"/>
        </w:rPr>
        <w:t>• Evidence inventory and safe-use labels from Tool 1.</w:t>
      </w:r>
    </w:p>
    <w:p>
      <w:pPr>
        <w:spacing w:after="40"/>
        <w:ind w:left="259" w:hanging="173"/>
      </w:pPr>
      <w:r>
        <w:rPr>
          <w:sz w:val="20"/>
        </w:rPr>
        <w:t>• Measure and value clues from Tool 1.</w:t>
      </w:r>
    </w:p>
    <w:p>
      <w:pPr>
        <w:spacing w:after="40"/>
        <w:ind w:left="259" w:hanging="173"/>
      </w:pPr>
      <w:r>
        <w:rPr>
          <w:sz w:val="20"/>
        </w:rPr>
        <w:t>• Context Briefs, before/after meaning, and claim boundaries from Tool 2.</w:t>
      </w:r>
    </w:p>
    <w:p>
      <w:pPr>
        <w:spacing w:after="40"/>
        <w:ind w:left="259" w:hanging="173"/>
      </w:pPr>
      <w:r>
        <w:rPr>
          <w:sz w:val="20"/>
        </w:rPr>
        <w:t>• Positioning hypotheses, possible audiences, and value patterns from Tool 3.</w:t>
      </w:r>
    </w:p>
    <w:p>
      <w:pPr>
        <w:spacing w:after="40"/>
        <w:ind w:left="259" w:hanging="173"/>
      </w:pPr>
      <w:r>
        <w:rPr>
          <w:sz w:val="20"/>
        </w:rPr>
        <w:t>• Rendering drafts, feedback notes, and revision notes from Tool 4.</w:t>
      </w:r>
    </w:p>
    <w:p>
      <w:pPr>
        <w:spacing w:after="40"/>
        <w:ind w:left="259" w:hanging="173"/>
      </w:pPr>
      <w:r>
        <w:rPr>
          <w:sz w:val="20"/>
        </w:rPr>
        <w:t>• Anything marked needs verification, private only, summary only, ask permission, or do not use externally.</w:t>
      </w:r>
    </w:p>
    <w:p>
      <w:pPr>
        <w:pStyle w:val="Heading2"/>
        <w:spacing w:before="140" w:after="40"/>
      </w:pPr>
      <w:r>
        <w:t>Privacy and responsible-use note</w:t>
      </w:r>
    </w:p>
    <w:p>
      <w:pPr>
        <w:spacing w:after="80" w:line="259" w:lineRule="auto"/>
      </w:pPr>
      <w:r>
        <w:rPr>
          <w:b/>
        </w:rPr>
        <w:t>Use responsibly.</w:t>
      </w:r>
      <w:r>
        <w:t xml:space="preserve">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pPr/>
      <w:r>
        <w:rPr>
          <w:b/>
        </w:rPr>
        <w:t>Claim carefully.</w:t>
      </w:r>
      <w:r>
        <w:t xml:space="preserve"> Measure clues are not permission to invent numbers or overstate results. Use measured, observed, or carefully qualified language. If a number cannot be verified, describe the change more generally and keep the claim within what the record can support.</w:t>
      </w:r>
    </w:p>
    <w:p>
      <w:pPr>
        <w:spacing w:after="80" w:line="259" w:lineRule="auto"/>
      </w:pPr>
      <w:r>
        <w:rPr>
          <w:b w:val="0"/>
          <w:i w:val="0"/>
        </w:rPr>
        <w:t>Do not include or share confidential, proprietary, classified, sensitive personal, legally restricted, employer-owned, client-owned, patient, student, coworker, or restricted material unless you are clearly allowed to do so. Some evidence belongs only in a private record. Some work should be summarized, anonymized, or left out entirely. These materials are for personal organization and professional reflection, not legal, employment, financial, or career advice.</w:t>
      </w:r>
    </w:p>
    <w:p>
      <w:pPr>
        <w:spacing w:after="80" w:line="259" w:lineRule="auto"/>
      </w:pPr>
      <w:r>
        <w:rPr>
          <w:b w:val="0"/>
          <w:i w:val="0"/>
        </w:rPr>
        <w:t>The goal is to prove without exposing what should be protected. The private record can hold more than any public rendering should show.</w:t>
      </w:r>
    </w:p>
    <w:p>
      <w:pPr>
        <w:pStyle w:val="Heading2"/>
        <w:spacing w:before="140" w:after="40"/>
      </w:pPr>
      <w:r>
        <w:t>Who this is for</w:t>
      </w:r>
    </w:p>
    <w:p>
      <w:pPr>
        <w:spacing w:after="80" w:line="259" w:lineRule="auto"/>
      </w:pPr>
      <w:r>
        <w:rPr>
          <w:b w:val="0"/>
          <w:i w:val="0"/>
        </w:rPr>
        <w:t>This tool is for anyone who needs a durable source beneath their professional materials: job seekers, career changers, veterans, students, managers, technical specialists, consultants, freelancers, executives, caregivers returning to paid work, workers recovering from layoffs, people preparing for promotion, and anyone whose real work is more complex than their current résumé or profile shows.</w:t>
      </w:r>
    </w:p>
    <w:p>
      <w:pPr>
        <w:pStyle w:val="Heading2"/>
        <w:spacing w:before="140" w:after="40"/>
      </w:pPr>
      <w:r>
        <w:t>When to use it</w:t>
      </w:r>
    </w:p>
    <w:p>
      <w:pPr>
        <w:spacing w:after="40"/>
        <w:ind w:left="259" w:hanging="173"/>
      </w:pPr>
      <w:r>
        <w:rPr>
          <w:sz w:val="20"/>
        </w:rPr>
        <w:t>• After completing Tools 1–4.</w:t>
      </w:r>
    </w:p>
    <w:p>
      <w:pPr>
        <w:spacing w:after="40"/>
        <w:ind w:left="259" w:hanging="173"/>
      </w:pPr>
      <w:r>
        <w:rPr>
          <w:sz w:val="20"/>
        </w:rPr>
        <w:t>• Before updating a résumé, LinkedIn profile, bio, portfolio, proposal, or interview story bank.</w:t>
      </w:r>
    </w:p>
    <w:p>
      <w:pPr>
        <w:spacing w:after="40"/>
        <w:ind w:left="259" w:hanging="173"/>
      </w:pPr>
      <w:r>
        <w:rPr>
          <w:sz w:val="20"/>
        </w:rPr>
        <w:t>• Before leaving a role, while context and witnesses are still available.</w:t>
      </w:r>
    </w:p>
    <w:p>
      <w:pPr>
        <w:spacing w:after="40"/>
        <w:ind w:left="259" w:hanging="173"/>
      </w:pPr>
      <w:r>
        <w:rPr>
          <w:sz w:val="20"/>
        </w:rPr>
        <w:t>• When you want a source to check future AI-assisted drafts against.</w:t>
      </w:r>
    </w:p>
    <w:p>
      <w:pPr>
        <w:spacing w:after="40"/>
        <w:ind w:left="259" w:hanging="173"/>
      </w:pPr>
      <w:r>
        <w:rPr>
          <w:sz w:val="20"/>
        </w:rPr>
        <w:t>• When you want to stop rebuilding your professional story from memory.</w:t>
      </w:r>
    </w:p>
    <w:p>
      <w:pPr>
        <w:pStyle w:val="Heading2"/>
        <w:spacing w:before="140" w:after="40"/>
      </w:pPr>
      <w:r>
        <w:t>What you will produce by the end</w:t>
      </w:r>
    </w:p>
    <w:p>
      <w:pPr>
        <w:spacing w:after="80" w:line="259" w:lineRule="auto"/>
      </w:pPr>
      <w:r>
        <w:rPr>
          <w:b w:val="0"/>
          <w:i w:val="0"/>
        </w:rPr>
        <w:t>By the end, you will have a working Living Professional Record with a clear purpose, evidence entries, context entries, interpretation and claim boundaries, positioning hypotheses, renderings, witnesses or confirming sources, privacy and exclusion notes, feedback, revision history, and carry-forward actions.</w:t>
      </w:r>
    </w:p>
    <w:p>
      <w:pPr>
        <w:pStyle w:val="Heading2"/>
        <w:spacing w:before="140" w:after="40"/>
      </w:pPr>
      <w:r>
        <w:t>What a Living Professional Record is</w:t>
      </w:r>
    </w:p>
    <w:p>
      <w:pPr>
        <w:spacing w:after="80" w:line="259" w:lineRule="auto"/>
      </w:pPr>
      <w:r>
        <w:rPr>
          <w:b w:val="0"/>
          <w:i w:val="0"/>
        </w:rPr>
        <w:t>A Living Professional Record is a private, worker-owned source layer for professional truth. It preserves evidence, context, decisions, constraints, tradeoffs, outcomes, measures of performance, measures of effectiveness, witnesses, interpretation, claim boundaries, positioning hypotheses, audience-specific renderings, privacy limits, feedback, and revisions.</w:t>
      </w:r>
    </w:p>
    <w:p>
      <w:pPr>
        <w:spacing w:after="80" w:line="259" w:lineRule="auto"/>
      </w:pPr>
      <w:r>
        <w:rPr>
          <w:b w:val="0"/>
          <w:i w:val="0"/>
        </w:rPr>
        <w:t>It helps you answer: What happened? What evidence exists? What was my role? What changed? How much changed, or in what specific way? What can I claim? What should I not claim? What can be shared? What should remain private? What rendering belongs in this situation?</w:t>
      </w:r>
    </w:p>
    <w:p>
      <w:pPr>
        <w:pStyle w:val="Heading2"/>
        <w:spacing w:before="140" w:after="40"/>
      </w:pPr>
      <w:r>
        <w:t>What the record is not</w:t>
      </w:r>
    </w:p>
    <w:p>
      <w:pPr>
        <w:spacing w:after="40"/>
        <w:ind w:left="259" w:hanging="173"/>
      </w:pPr>
      <w:r>
        <w:rPr>
          <w:sz w:val="20"/>
        </w:rPr>
        <w:t>• It is not a résumé, LinkedIn profile, public portfolio, or final career story.</w:t>
      </w:r>
    </w:p>
    <w:p>
      <w:pPr>
        <w:spacing w:after="40"/>
        <w:ind w:left="259" w:hanging="173"/>
      </w:pPr>
      <w:r>
        <w:rPr>
          <w:sz w:val="20"/>
        </w:rPr>
        <w:t>• It is not a brag file, personal brand statement, or employer-owned talent file.</w:t>
      </w:r>
    </w:p>
    <w:p>
      <w:pPr>
        <w:spacing w:after="40"/>
        <w:ind w:left="259" w:hanging="173"/>
      </w:pPr>
      <w:r>
        <w:rPr>
          <w:sz w:val="20"/>
        </w:rPr>
        <w:t>• It is not a surveillance archive or a folder where everything gets dumped.</w:t>
      </w:r>
    </w:p>
    <w:p>
      <w:pPr>
        <w:spacing w:after="40"/>
        <w:ind w:left="259" w:hanging="173"/>
      </w:pPr>
      <w:r>
        <w:rPr>
          <w:sz w:val="20"/>
        </w:rPr>
        <w:t>• It is not a guarantee of employment, promotion, income, or recognition.</w:t>
      </w:r>
    </w:p>
    <w:p>
      <w:pPr>
        <w:spacing w:after="40"/>
        <w:ind w:left="259" w:hanging="173"/>
      </w:pPr>
      <w:r>
        <w:rPr>
          <w:sz w:val="20"/>
        </w:rPr>
        <w:t>• It is not a place to store restricted material carelessly.</w:t>
      </w:r>
    </w:p>
    <w:p>
      <w:pPr>
        <w:spacing w:after="80" w:line="259" w:lineRule="auto"/>
      </w:pPr>
      <w:r>
        <w:rPr>
          <w:b w:val="0"/>
          <w:i w:val="0"/>
        </w:rPr>
        <w:t>It is a working source: useful, honest, private where needed, and revisable.</w:t>
      </w:r>
    </w:p>
    <w:p>
      <w:pPr>
        <w:pStyle w:val="Heading2"/>
        <w:spacing w:before="140" w:after="40"/>
      </w:pPr>
      <w:r>
        <w:t>How Tools 1–4 feed the record</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456"/>
        <w:gridCol w:w="3456"/>
        <w:gridCol w:w="3456"/>
      </w:tblGrid>
      <w:tr>
        <w:trPr>
          <w:tblHeader w:val="true"/>
        </w:trPr>
        <w:tc>
          <w:tcPr>
            <w:tcW w:type="dxa" w:w="2592"/>
            <w:shd w:fill="F7F3EF"/>
          </w:tcPr>
          <w:p>
            <w:r/>
            <w:r>
              <w:rPr>
                <w:b/>
                <w:color w:val="0B2A45"/>
                <w:sz w:val="16"/>
              </w:rPr>
              <w:t>Tool</w:t>
            </w:r>
          </w:p>
        </w:tc>
        <w:tc>
          <w:tcPr>
            <w:tcW w:type="dxa" w:w="2304"/>
            <w:shd w:fill="F7F3EF"/>
          </w:tcPr>
          <w:p>
            <w:r/>
            <w:r>
              <w:rPr>
                <w:b/>
                <w:color w:val="0B2A45"/>
                <w:sz w:val="16"/>
              </w:rPr>
              <w:t>Record layer it feeds</w:t>
            </w:r>
          </w:p>
        </w:tc>
        <w:tc>
          <w:tcPr>
            <w:tcW w:type="dxa" w:w="6048"/>
            <w:shd w:fill="F7F3EF"/>
          </w:tcPr>
          <w:p>
            <w:r/>
            <w:r>
              <w:rPr>
                <w:b/>
                <w:color w:val="0B2A45"/>
                <w:sz w:val="16"/>
              </w:rPr>
              <w:t>What it contributes</w:t>
            </w:r>
          </w:p>
        </w:tc>
      </w:tr>
      <w:tr>
        <w:tc>
          <w:tcPr>
            <w:tcW w:type="dxa" w:w="2592"/>
            <w:vAlign w:val="top"/>
          </w:tcPr>
          <w:p>
            <w:r/>
            <w:r>
              <w:rPr>
                <w:b w:val="0"/>
                <w:sz w:val="16"/>
              </w:rPr>
              <w:t>Tool 1 — Evidence Inventory</w:t>
            </w:r>
          </w:p>
        </w:tc>
        <w:tc>
          <w:tcPr>
            <w:tcW w:type="dxa" w:w="2304"/>
            <w:vAlign w:val="top"/>
          </w:tcPr>
          <w:p>
            <w:r/>
            <w:r>
              <w:rPr>
                <w:b w:val="0"/>
                <w:sz w:val="16"/>
              </w:rPr>
              <w:t>Evidence Layer</w:t>
            </w:r>
          </w:p>
        </w:tc>
        <w:tc>
          <w:tcPr>
            <w:tcW w:type="dxa" w:w="6048"/>
            <w:vAlign w:val="top"/>
          </w:tcPr>
          <w:p>
            <w:r/>
            <w:r>
              <w:rPr>
                <w:b w:val="0"/>
                <w:sz w:val="16"/>
              </w:rPr>
              <w:t>Evidence items, work products, artifacts, decisions, outcomes, witnesses, safe-use labels, measure and value clues, possible claims.</w:t>
            </w:r>
          </w:p>
        </w:tc>
      </w:tr>
      <w:tr>
        <w:tc>
          <w:tcPr>
            <w:tcW w:type="dxa" w:w="2592"/>
            <w:vAlign w:val="top"/>
          </w:tcPr>
          <w:p>
            <w:r/>
            <w:r>
              <w:rPr>
                <w:b w:val="0"/>
                <w:sz w:val="16"/>
              </w:rPr>
              <w:t>Tool 2 — Context Reconstruction</w:t>
            </w:r>
          </w:p>
        </w:tc>
        <w:tc>
          <w:tcPr>
            <w:tcW w:type="dxa" w:w="2304"/>
            <w:vAlign w:val="top"/>
          </w:tcPr>
          <w:p>
            <w:r/>
            <w:r>
              <w:rPr>
                <w:b w:val="0"/>
                <w:sz w:val="16"/>
              </w:rPr>
              <w:t>Context Layer</w:t>
            </w:r>
          </w:p>
        </w:tc>
        <w:tc>
          <w:tcPr>
            <w:tcW w:type="dxa" w:w="6048"/>
            <w:vAlign w:val="top"/>
          </w:tcPr>
          <w:p>
            <w:r/>
            <w:r>
              <w:rPr>
                <w:b w:val="0"/>
                <w:sz w:val="16"/>
              </w:rPr>
              <w:t>Situation, role, constraints, decisions, tradeoffs, before/after meaning, what changed, and what the evidence does and does not prove.</w:t>
            </w:r>
          </w:p>
        </w:tc>
      </w:tr>
      <w:tr>
        <w:tc>
          <w:tcPr>
            <w:tcW w:type="dxa" w:w="2592"/>
            <w:vAlign w:val="top"/>
          </w:tcPr>
          <w:p>
            <w:r/>
            <w:r>
              <w:rPr>
                <w:b w:val="0"/>
                <w:sz w:val="16"/>
              </w:rPr>
              <w:t>Tool 3 — Positioning Hypothesis</w:t>
            </w:r>
          </w:p>
        </w:tc>
        <w:tc>
          <w:tcPr>
            <w:tcW w:type="dxa" w:w="2304"/>
            <w:vAlign w:val="top"/>
          </w:tcPr>
          <w:p>
            <w:r/>
            <w:r>
              <w:rPr>
                <w:b w:val="0"/>
                <w:sz w:val="16"/>
              </w:rPr>
              <w:t>Positioning Layer</w:t>
            </w:r>
          </w:p>
        </w:tc>
        <w:tc>
          <w:tcPr>
            <w:tcW w:type="dxa" w:w="6048"/>
            <w:vAlign w:val="top"/>
          </w:tcPr>
          <w:p>
            <w:r/>
            <w:r>
              <w:rPr>
                <w:b w:val="0"/>
                <w:sz w:val="16"/>
              </w:rPr>
              <w:t>Evidence patterns, context patterns, value patterns, possible audiences, role/function directions, and testable positioning hypotheses.</w:t>
            </w:r>
          </w:p>
        </w:tc>
      </w:tr>
      <w:tr>
        <w:tc>
          <w:tcPr>
            <w:tcW w:type="dxa" w:w="2592"/>
            <w:vAlign w:val="top"/>
          </w:tcPr>
          <w:p>
            <w:r/>
            <w:r>
              <w:rPr>
                <w:b w:val="0"/>
                <w:sz w:val="16"/>
              </w:rPr>
              <w:t>Tool 4 — Record-to-Rendering</w:t>
            </w:r>
          </w:p>
        </w:tc>
        <w:tc>
          <w:tcPr>
            <w:tcW w:type="dxa" w:w="2304"/>
            <w:vAlign w:val="top"/>
          </w:tcPr>
          <w:p>
            <w:r/>
            <w:r>
              <w:rPr>
                <w:b w:val="0"/>
                <w:sz w:val="16"/>
              </w:rPr>
              <w:t>Rendering Layer</w:t>
            </w:r>
          </w:p>
        </w:tc>
        <w:tc>
          <w:tcPr>
            <w:tcW w:type="dxa" w:w="6048"/>
            <w:vAlign w:val="top"/>
          </w:tcPr>
          <w:p>
            <w:r/>
            <w:r>
              <w:rPr>
                <w:b w:val="0"/>
                <w:sz w:val="16"/>
              </w:rPr>
              <w:t>Audience-specific rendering decisions, source-backed claims, performance/effectiveness measures, draft language, privacy limits, feedback, and revision notes.</w:t>
            </w:r>
          </w:p>
        </w:tc>
      </w:tr>
    </w:tbl>
    <w:p/>
    <w:p>
      <w:pPr>
        <w:pStyle w:val="Heading2"/>
        <w:spacing w:before="140" w:after="40"/>
      </w:pPr>
      <w:r>
        <w:t>Suggested record sections</w:t>
      </w:r>
    </w:p>
    <w:p>
      <w:pPr>
        <w:spacing w:after="40"/>
        <w:ind w:left="259" w:hanging="173"/>
      </w:pPr>
      <w:r>
        <w:rPr>
          <w:sz w:val="20"/>
        </w:rPr>
        <w:t>• Record Overview — owner, scope, purpose, and current use.</w:t>
      </w:r>
    </w:p>
    <w:p>
      <w:pPr>
        <w:spacing w:after="40"/>
        <w:ind w:left="259" w:hanging="173"/>
      </w:pPr>
      <w:r>
        <w:rPr>
          <w:sz w:val="20"/>
        </w:rPr>
        <w:t>• Evidence Inventory — evidence items, source locations, safe-use labels, and measure clues.</w:t>
      </w:r>
    </w:p>
    <w:p>
      <w:pPr>
        <w:spacing w:after="40"/>
        <w:ind w:left="259" w:hanging="173"/>
      </w:pPr>
      <w:r>
        <w:rPr>
          <w:sz w:val="20"/>
        </w:rPr>
        <w:t>• Context Briefs — situation, role, constraints, decisions, tradeoffs, and what changed.</w:t>
      </w:r>
    </w:p>
    <w:p>
      <w:pPr>
        <w:spacing w:after="40"/>
        <w:ind w:left="259" w:hanging="173"/>
      </w:pPr>
      <w:r>
        <w:rPr>
          <w:sz w:val="20"/>
        </w:rPr>
        <w:t>• Interpretation and Claim Boundaries — what the evidence may support and what it does not prove.</w:t>
      </w:r>
    </w:p>
    <w:p>
      <w:pPr>
        <w:spacing w:after="40"/>
        <w:ind w:left="259" w:hanging="173"/>
      </w:pPr>
      <w:r>
        <w:rPr>
          <w:sz w:val="20"/>
        </w:rPr>
        <w:t>• Positioning Hypotheses — possible audiences, problems served, role/function fits, and testing status.</w:t>
      </w:r>
    </w:p>
    <w:p>
      <w:pPr>
        <w:spacing w:after="40"/>
        <w:ind w:left="259" w:hanging="173"/>
      </w:pPr>
      <w:r>
        <w:rPr>
          <w:sz w:val="20"/>
        </w:rPr>
        <w:t>• Rendering Bank — résumé bullets, LinkedIn paragraphs, bio language, interview answers, portfolio summaries, proposal paragraphs, and other drafts.</w:t>
      </w:r>
    </w:p>
    <w:p>
      <w:pPr>
        <w:spacing w:after="40"/>
        <w:ind w:left="259" w:hanging="173"/>
      </w:pPr>
      <w:r>
        <w:rPr>
          <w:sz w:val="20"/>
        </w:rPr>
        <w:t>• Witnesses and Confirming Sources — people, records, public links, feedback, or documents that may support part of the record.</w:t>
      </w:r>
    </w:p>
    <w:p>
      <w:pPr>
        <w:spacing w:after="40"/>
        <w:ind w:left="259" w:hanging="173"/>
      </w:pPr>
      <w:r>
        <w:rPr>
          <w:sz w:val="20"/>
        </w:rPr>
        <w:t>• Privacy and Exclusion Log — what must not be shared, what requires permission, and what should be summarized or anonymized.</w:t>
      </w:r>
    </w:p>
    <w:p>
      <w:pPr>
        <w:spacing w:after="40"/>
        <w:ind w:left="259" w:hanging="173"/>
      </w:pPr>
      <w:r>
        <w:rPr>
          <w:sz w:val="20"/>
        </w:rPr>
        <w:t>• Feedback Log and Revision Log — what changed, when, why, and what needs attention next.</w:t>
      </w:r>
    </w:p>
    <w:p>
      <w:pPr>
        <w:pStyle w:val="Heading2"/>
        <w:spacing w:before="140" w:after="40"/>
      </w:pPr>
      <w:r>
        <w:t>How to maintain the record over time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880"/>
            <w:shd w:fill="F7F3EF"/>
          </w:tcPr>
          <w:p>
            <w:r/>
            <w:r>
              <w:rPr>
                <w:b/>
                <w:color w:val="0B2A45"/>
                <w:sz w:val="17"/>
              </w:rPr>
              <w:t>Moment</w:t>
            </w:r>
          </w:p>
        </w:tc>
        <w:tc>
          <w:tcPr>
            <w:tcW w:type="dxa" w:w="7488"/>
            <w:shd w:fill="F7F3EF"/>
          </w:tcPr>
          <w:p>
            <w:r/>
            <w:r>
              <w:rPr>
                <w:b/>
                <w:color w:val="0B2A45"/>
                <w:sz w:val="17"/>
              </w:rPr>
              <w:t>What to capture</w:t>
            </w:r>
          </w:p>
        </w:tc>
      </w:tr>
      <w:tr>
        <w:tc>
          <w:tcPr>
            <w:tcW w:type="dxa" w:w="2880"/>
            <w:vAlign w:val="top"/>
          </w:tcPr>
          <w:p>
            <w:r/>
            <w:r>
              <w:rPr>
                <w:b w:val="0"/>
                <w:sz w:val="17"/>
              </w:rPr>
              <w:t>After a project</w:t>
            </w:r>
          </w:p>
        </w:tc>
        <w:tc>
          <w:tcPr>
            <w:tcW w:type="dxa" w:w="7488"/>
            <w:vAlign w:val="top"/>
          </w:tcPr>
          <w:p>
            <w:r/>
            <w:r>
              <w:rPr>
                <w:b w:val="0"/>
                <w:sz w:val="17"/>
              </w:rPr>
              <w:t>What happened, what you did, what changed, what evidence exists, and what should remain private.</w:t>
            </w:r>
          </w:p>
        </w:tc>
      </w:tr>
      <w:tr>
        <w:tc>
          <w:tcPr>
            <w:tcW w:type="dxa" w:w="2880"/>
            <w:vAlign w:val="top"/>
          </w:tcPr>
          <w:p>
            <w:r/>
            <w:r>
              <w:rPr>
                <w:b w:val="0"/>
                <w:sz w:val="17"/>
              </w:rPr>
              <w:t>After a major decision</w:t>
            </w:r>
          </w:p>
        </w:tc>
        <w:tc>
          <w:tcPr>
            <w:tcW w:type="dxa" w:w="7488"/>
            <w:vAlign w:val="top"/>
          </w:tcPr>
          <w:p>
            <w:r/>
            <w:r>
              <w:rPr>
                <w:b w:val="0"/>
                <w:sz w:val="17"/>
              </w:rPr>
              <w:t>Options, constraints, tradeoffs, choice made, result, and lesson.</w:t>
            </w:r>
          </w:p>
        </w:tc>
      </w:tr>
      <w:tr>
        <w:tc>
          <w:tcPr>
            <w:tcW w:type="dxa" w:w="2880"/>
            <w:vAlign w:val="top"/>
          </w:tcPr>
          <w:p>
            <w:r/>
            <w:r>
              <w:rPr>
                <w:b w:val="0"/>
                <w:sz w:val="17"/>
              </w:rPr>
              <w:t>After feedback</w:t>
            </w:r>
          </w:p>
        </w:tc>
        <w:tc>
          <w:tcPr>
            <w:tcW w:type="dxa" w:w="7488"/>
            <w:vAlign w:val="top"/>
          </w:tcPr>
          <w:p>
            <w:r/>
            <w:r>
              <w:rPr>
                <w:b w:val="0"/>
                <w:sz w:val="17"/>
              </w:rPr>
              <w:t>Useful feedback, who gave it, what it confirms, and what it may change.</w:t>
            </w:r>
          </w:p>
        </w:tc>
      </w:tr>
      <w:tr>
        <w:tc>
          <w:tcPr>
            <w:tcW w:type="dxa" w:w="2880"/>
            <w:vAlign w:val="top"/>
          </w:tcPr>
          <w:p>
            <w:r/>
            <w:r>
              <w:rPr>
                <w:b w:val="0"/>
                <w:sz w:val="17"/>
              </w:rPr>
              <w:t>Before leaving a role</w:t>
            </w:r>
          </w:p>
        </w:tc>
        <w:tc>
          <w:tcPr>
            <w:tcW w:type="dxa" w:w="7488"/>
            <w:vAlign w:val="top"/>
          </w:tcPr>
          <w:p>
            <w:r/>
            <w:r>
              <w:rPr>
                <w:b w:val="0"/>
                <w:sz w:val="17"/>
              </w:rPr>
              <w:t>What you can responsibly keep, what must be summarized, and who saw the work.</w:t>
            </w:r>
          </w:p>
        </w:tc>
      </w:tr>
      <w:tr>
        <w:tc>
          <w:tcPr>
            <w:tcW w:type="dxa" w:w="2880"/>
            <w:vAlign w:val="top"/>
          </w:tcPr>
          <w:p>
            <w:r/>
            <w:r>
              <w:rPr>
                <w:b w:val="0"/>
                <w:sz w:val="17"/>
              </w:rPr>
              <w:t>Before updating a résumé or profile</w:t>
            </w:r>
          </w:p>
        </w:tc>
        <w:tc>
          <w:tcPr>
            <w:tcW w:type="dxa" w:w="7488"/>
            <w:vAlign w:val="top"/>
          </w:tcPr>
          <w:p>
            <w:r/>
            <w:r>
              <w:rPr>
                <w:b w:val="0"/>
                <w:sz w:val="17"/>
              </w:rPr>
              <w:t>Evidence, context, measures, audience, and claim boundaries before drafting the surface.</w:t>
            </w:r>
          </w:p>
        </w:tc>
      </w:tr>
      <w:tr>
        <w:tc>
          <w:tcPr>
            <w:tcW w:type="dxa" w:w="2880"/>
            <w:vAlign w:val="top"/>
          </w:tcPr>
          <w:p>
            <w:r/>
            <w:r>
              <w:rPr>
                <w:b w:val="0"/>
                <w:sz w:val="17"/>
              </w:rPr>
              <w:t>After using a rendering</w:t>
            </w:r>
          </w:p>
        </w:tc>
        <w:tc>
          <w:tcPr>
            <w:tcW w:type="dxa" w:w="7488"/>
            <w:vAlign w:val="top"/>
          </w:tcPr>
          <w:p>
            <w:r/>
            <w:r>
              <w:rPr>
                <w:b w:val="0"/>
                <w:sz w:val="17"/>
              </w:rPr>
              <w:t>Where it was used, what feedback came back, and whether revision is needed.</w:t>
            </w:r>
          </w:p>
        </w:tc>
      </w:tr>
    </w:tbl>
    <w:p/>
    <w:p>
      <w:pPr>
        <w:pStyle w:val="Heading2"/>
        <w:spacing w:before="140" w:after="40"/>
      </w:pPr>
      <w:r>
        <w:t>Use the record without oversharing</w:t>
      </w:r>
    </w:p>
    <w:p>
      <w:pPr>
        <w:spacing w:after="40"/>
        <w:ind w:left="259" w:hanging="173"/>
      </w:pPr>
      <w:r>
        <w:rPr>
          <w:sz w:val="20"/>
        </w:rPr>
        <w:t>• Ask whether the evidence is yours to share.</w:t>
      </w:r>
    </w:p>
    <w:p>
      <w:pPr>
        <w:spacing w:after="40"/>
        <w:ind w:left="259" w:hanging="173"/>
      </w:pPr>
      <w:r>
        <w:rPr>
          <w:sz w:val="20"/>
        </w:rPr>
        <w:t>• Summarize or anonymize when direct sharing would expose too much.</w:t>
      </w:r>
    </w:p>
    <w:p>
      <w:pPr>
        <w:spacing w:after="40"/>
        <w:ind w:left="259" w:hanging="173"/>
      </w:pPr>
      <w:r>
        <w:rPr>
          <w:sz w:val="20"/>
        </w:rPr>
        <w:t>• Leave out names, numbers, systems, clients, locations, or details when they are not needed.</w:t>
      </w:r>
    </w:p>
    <w:p>
      <w:pPr>
        <w:spacing w:after="40"/>
        <w:ind w:left="259" w:hanging="173"/>
      </w:pPr>
      <w:r>
        <w:rPr>
          <w:sz w:val="20"/>
        </w:rPr>
        <w:t>• Use safer language when the same truthful claim can be made without exposing protected material.</w:t>
      </w:r>
    </w:p>
    <w:p>
      <w:pPr>
        <w:spacing w:after="40"/>
        <w:ind w:left="259" w:hanging="173"/>
      </w:pPr>
      <w:r>
        <w:rPr>
          <w:sz w:val="20"/>
        </w:rPr>
        <w:t>• Do not let a public rendering reveal what belongs only in the private record.</w:t>
      </w:r>
    </w:p>
    <w:p>
      <w:pPr>
        <w:pStyle w:val="Heading2"/>
        <w:spacing w:before="140" w:after="40"/>
      </w:pPr>
      <w:r>
        <w:t>Feedback and revision</w:t>
      </w:r>
    </w:p>
    <w:p>
      <w:pPr>
        <w:spacing w:after="80" w:line="259" w:lineRule="auto"/>
      </w:pPr>
      <w:r>
        <w:rPr>
          <w:b w:val="0"/>
          <w:i w:val="0"/>
        </w:rPr>
        <w:t>Every rendering is a draft until it has been tested. Feedback should not automatically replace the record; it should be evaluated against the source. Revision is not just wordsmithing. Revision is how the surface stays accountable to the source.</w:t>
      </w:r>
    </w:p>
    <w:p>
      <w:pPr>
        <w:pStyle w:val="Heading2"/>
        <w:spacing w:before="140" w:after="40"/>
      </w:pPr>
      <w:r>
        <w:t>Simple example overview</w:t>
      </w:r>
    </w:p>
    <w:p>
      <w:pPr>
        <w:spacing w:after="80" w:line="259" w:lineRule="auto"/>
      </w:pPr>
      <w:r>
        <w:rPr>
          <w:b w:val="0"/>
          <w:i w:val="0"/>
        </w:rPr>
        <w:t>A mid-career operations coordinator helped stabilize onboarding across several locations during a period of staffing constraints and unclear ownership. Without a record, the résumé might say: “Improved onboarding process.” That is too thin.</w:t>
      </w:r>
    </w:p>
    <w:p>
      <w:pPr>
        <w:spacing w:after="80" w:line="259" w:lineRule="auto"/>
      </w:pPr>
      <w:r>
        <w:rPr>
          <w:b w:val="0"/>
          <w:i w:val="0"/>
        </w:rPr>
        <w:t>With a Living Professional Record, the person can preserve the internal evidence, a summary-safe version, the context, the role played, the constraints, the measure of performance, the measure of effectiveness, privacy limits, claim boundaries, renderings, feedback, and revisions. A source-backed résumé rendering might become:</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Example rendering</w:t>
            </w:r>
          </w:p>
          <w:p>
            <w:pPr>
              <w:spacing w:after="0"/>
            </w:pPr>
            <w:r>
              <w:rPr>
                <w:sz w:val="19"/>
              </w:rPr>
              <w:t>Created first-week onboarding guide adopted across 3 locations, reducing repeated handoff questions from daily follow-ups to one weekly exception during the first month of use.</w:t>
            </w:r>
          </w:p>
        </w:tc>
      </w:tr>
    </w:tbl>
    <w:p>
      <w:pPr>
        <w:pStyle w:val="Heading2"/>
        <w:spacing w:before="140" w:after="40"/>
      </w:pPr>
      <w:r>
        <w:t>Closing note</w:t>
      </w:r>
    </w:p>
    <w:p>
      <w:pPr>
        <w:spacing w:after="80" w:line="259" w:lineRule="auto"/>
      </w:pPr>
      <w:r>
        <w:rPr>
          <w:b w:val="0"/>
          <w:i w:val="0"/>
        </w:rPr>
        <w:t>The Living Professional Record gives your future renderings a source. You do not have to rebuild your professional story from memory each time a system asks for a surface. You can return to the evidence, context, measures, claims, boundaries, and revisions. The résumé is a rendering. The record is the source of truth.</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