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b/>
          <w:color w:val="0B2A45"/>
          <w:sz w:val="42"/>
        </w:rPr>
        <w:t>Tool 5C — Example Living Professional Record</w:t>
      </w:r>
    </w:p>
    <w:p>
      <w:r>
        <w:rPr>
          <w:i/>
          <w:color w:val="5F6B7A"/>
          <w:sz w:val="22"/>
        </w:rPr>
        <w:t>Fictional example: how the pieces assemble into a source layer</w:t>
      </w:r>
    </w:p>
    <w:p>
      <w:r>
        <w:rPr>
          <w:color w:val="B76535"/>
          <w:sz w:val="18"/>
        </w:rPr>
        <w:t>The Living Professional Record | The Professional Truth Trilogy</w:t>
      </w:r>
    </w:p>
    <w:p/>
    <w:p>
      <w:pPr>
        <w:pStyle w:val="Heading1"/>
        <w:spacing w:before="160" w:after="80"/>
      </w:pPr>
      <w:r>
        <w:t>Important note</w:t>
      </w:r>
    </w:p>
    <w:p>
      <w:pPr>
        <w:spacing w:after="80" w:line="259" w:lineRule="auto"/>
      </w:pPr>
      <w:r>
        <w:rPr>
          <w:b w:val="0"/>
          <w:i w:val="0"/>
        </w:rPr>
        <w:t>This example is fictional. It does not refer to a real person or employer. It is designed to show how ordinary work becomes clearer when evidence, context, positioning, privacy boundaries, and renderings are organized in one record.</w:t>
      </w:r>
    </w:p>
    <w:p>
      <w:pPr/>
      <w:r>
        <w:rPr>
          <w:b/>
        </w:rPr>
        <w:t>Responsible-use note:</w:t>
      </w:r>
      <w:r>
        <w:t xml:space="preserve"> This fictional example uses summary-safe language. Real records should use placeholders for restricted or sensitive material, avoid external AI tools unless authorized, get permission before sharing names or contact information, and avoid invented measures.</w:t>
      </w:r>
    </w:p>
    <w:p>
      <w:pPr>
        <w:pStyle w:val="Heading2"/>
        <w:spacing w:before="140" w:after="40"/>
      </w:pPr>
      <w:r>
        <w:t>1. Record owner profile</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5184"/>
        <w:gridCol w:w="5184"/>
      </w:tblGrid>
      <w:tr>
        <w:trPr>
          <w:tblHeader w:val="true"/>
        </w:trPr>
        <w:tc>
          <w:tcPr>
            <w:tcW w:type="dxa" w:w="2880"/>
            <w:shd w:fill="F7F3EF"/>
          </w:tcPr>
          <w:p>
            <w:r/>
            <w:r>
              <w:rPr>
                <w:b/>
                <w:color w:val="0B2A45"/>
                <w:sz w:val="17"/>
              </w:rPr>
              <w:t>Field</w:t>
            </w:r>
          </w:p>
        </w:tc>
        <w:tc>
          <w:tcPr>
            <w:tcW w:type="dxa" w:w="7488"/>
            <w:shd w:fill="F7F3EF"/>
          </w:tcPr>
          <w:p>
            <w:r/>
            <w:r>
              <w:rPr>
                <w:b/>
                <w:color w:val="0B2A45"/>
                <w:sz w:val="17"/>
              </w:rPr>
              <w:t>Example</w:t>
            </w:r>
          </w:p>
        </w:tc>
      </w:tr>
      <w:tr>
        <w:tc>
          <w:tcPr>
            <w:tcW w:type="dxa" w:w="2880"/>
            <w:vAlign w:val="top"/>
          </w:tcPr>
          <w:p>
            <w:r/>
            <w:r>
              <w:rPr>
                <w:b w:val="0"/>
                <w:sz w:val="17"/>
              </w:rPr>
              <w:t>Name</w:t>
            </w:r>
          </w:p>
        </w:tc>
        <w:tc>
          <w:tcPr>
            <w:tcW w:type="dxa" w:w="7488"/>
            <w:vAlign w:val="top"/>
          </w:tcPr>
          <w:p>
            <w:r/>
            <w:r>
              <w:rPr>
                <w:b w:val="0"/>
                <w:sz w:val="17"/>
              </w:rPr>
              <w:t>Maya R.</w:t>
            </w:r>
          </w:p>
        </w:tc>
      </w:tr>
      <w:tr>
        <w:tc>
          <w:tcPr>
            <w:tcW w:type="dxa" w:w="2880"/>
            <w:vAlign w:val="top"/>
          </w:tcPr>
          <w:p>
            <w:r/>
            <w:r>
              <w:rPr>
                <w:b w:val="0"/>
                <w:sz w:val="17"/>
              </w:rPr>
              <w:t>Role</w:t>
            </w:r>
          </w:p>
        </w:tc>
        <w:tc>
          <w:tcPr>
            <w:tcW w:type="dxa" w:w="7488"/>
            <w:vAlign w:val="top"/>
          </w:tcPr>
          <w:p>
            <w:r/>
            <w:r>
              <w:rPr>
                <w:b w:val="0"/>
                <w:sz w:val="17"/>
              </w:rPr>
              <w:t>Operations Coordinator / Acting Team Lead</w:t>
            </w:r>
          </w:p>
        </w:tc>
      </w:tr>
      <w:tr>
        <w:tc>
          <w:tcPr>
            <w:tcW w:type="dxa" w:w="2880"/>
            <w:vAlign w:val="top"/>
          </w:tcPr>
          <w:p>
            <w:r/>
            <w:r>
              <w:rPr>
                <w:b w:val="0"/>
                <w:sz w:val="17"/>
              </w:rPr>
              <w:t>Career situation</w:t>
            </w:r>
          </w:p>
        </w:tc>
        <w:tc>
          <w:tcPr>
            <w:tcW w:type="dxa" w:w="7488"/>
            <w:vAlign w:val="top"/>
          </w:tcPr>
          <w:p>
            <w:r/>
            <w:r>
              <w:rPr>
                <w:b w:val="0"/>
                <w:sz w:val="17"/>
              </w:rPr>
              <w:t>Mid-career operations professional preparing to update her résumé and LinkedIn profile after several years in internal support roles. Her work has been useful, but much of it is behind the scenes and some evidence cannot be shared directly.</w:t>
            </w:r>
          </w:p>
        </w:tc>
      </w:tr>
    </w:tbl>
    <w:p/>
    <w:p>
      <w:pPr>
        <w:pStyle w:val="Heading2"/>
        <w:spacing w:before="140" w:after="40"/>
      </w:pPr>
      <w:r>
        <w:t>2. Current scope</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5184"/>
        <w:gridCol w:w="5184"/>
      </w:tblGrid>
      <w:tr>
        <w:trPr>
          <w:tblHeader w:val="true"/>
        </w:trPr>
        <w:tc>
          <w:tcPr>
            <w:tcW w:type="dxa" w:w="2880"/>
            <w:shd w:fill="F7F3EF"/>
          </w:tcPr>
          <w:p>
            <w:r/>
            <w:r>
              <w:rPr>
                <w:b/>
                <w:color w:val="0B2A45"/>
                <w:sz w:val="17"/>
              </w:rPr>
              <w:t>Field</w:t>
            </w:r>
          </w:p>
        </w:tc>
        <w:tc>
          <w:tcPr>
            <w:tcW w:type="dxa" w:w="7488"/>
            <w:shd w:fill="F7F3EF"/>
          </w:tcPr>
          <w:p>
            <w:r/>
            <w:r>
              <w:rPr>
                <w:b/>
                <w:color w:val="0B2A45"/>
                <w:sz w:val="17"/>
              </w:rPr>
              <w:t>Example</w:t>
            </w:r>
          </w:p>
        </w:tc>
      </w:tr>
      <w:tr>
        <w:tc>
          <w:tcPr>
            <w:tcW w:type="dxa" w:w="2880"/>
            <w:vAlign w:val="top"/>
          </w:tcPr>
          <w:p>
            <w:r/>
            <w:r>
              <w:rPr>
                <w:b w:val="0"/>
                <w:sz w:val="17"/>
              </w:rPr>
              <w:t>Scope</w:t>
            </w:r>
          </w:p>
        </w:tc>
        <w:tc>
          <w:tcPr>
            <w:tcW w:type="dxa" w:w="7488"/>
            <w:vAlign w:val="top"/>
          </w:tcPr>
          <w:p>
            <w:r/>
            <w:r>
              <w:rPr>
                <w:b w:val="0"/>
                <w:sz w:val="17"/>
              </w:rPr>
              <w:t>Onboarding stabilization project across multiple locations.</w:t>
            </w:r>
          </w:p>
        </w:tc>
      </w:tr>
      <w:tr>
        <w:tc>
          <w:tcPr>
            <w:tcW w:type="dxa" w:w="2880"/>
            <w:vAlign w:val="top"/>
          </w:tcPr>
          <w:p>
            <w:r/>
            <w:r>
              <w:rPr>
                <w:b w:val="0"/>
                <w:sz w:val="17"/>
              </w:rPr>
              <w:t>Time period</w:t>
            </w:r>
          </w:p>
        </w:tc>
        <w:tc>
          <w:tcPr>
            <w:tcW w:type="dxa" w:w="7488"/>
            <w:vAlign w:val="top"/>
          </w:tcPr>
          <w:p>
            <w:r/>
            <w:r>
              <w:rPr>
                <w:b w:val="0"/>
                <w:sz w:val="17"/>
              </w:rPr>
              <w:t>March–June 2024.</w:t>
            </w:r>
          </w:p>
        </w:tc>
      </w:tr>
      <w:tr>
        <w:tc>
          <w:tcPr>
            <w:tcW w:type="dxa" w:w="2880"/>
            <w:vAlign w:val="top"/>
          </w:tcPr>
          <w:p>
            <w:r/>
            <w:r>
              <w:rPr>
                <w:b w:val="0"/>
                <w:sz w:val="17"/>
              </w:rPr>
              <w:t>Why this scope matters</w:t>
            </w:r>
          </w:p>
        </w:tc>
        <w:tc>
          <w:tcPr>
            <w:tcW w:type="dxa" w:w="7488"/>
            <w:vAlign w:val="top"/>
          </w:tcPr>
          <w:p>
            <w:r/>
            <w:r>
              <w:rPr>
                <w:b w:val="0"/>
                <w:sz w:val="17"/>
              </w:rPr>
              <w:t>Maya wants to explain a project that involved real coordination, judgment, and process improvement, but her current résumé only says “supported onboarding.”</w:t>
            </w:r>
          </w:p>
        </w:tc>
      </w:tr>
    </w:tbl>
    <w:p/>
    <w:p>
      <w:pPr>
        <w:pStyle w:val="Heading2"/>
        <w:spacing w:before="140" w:after="40"/>
      </w:pPr>
      <w:r>
        <w:t>3. Record purpose</w:t>
      </w:r>
    </w:p>
    <w:p>
      <w:pPr>
        <w:spacing w:after="80" w:line="259" w:lineRule="auto"/>
      </w:pPr>
      <w:r>
        <w:rPr>
          <w:b w:val="0"/>
          <w:i w:val="0"/>
        </w:rPr>
        <w:t>This record supports a résumé update, LinkedIn About section, interview preparation, portfolio/project summary, and future promotion conversation. It helps Maya explain her role in stabilizing onboarding across multiple locations without sharing internal documents or overstating ownership of the entire onboarding function.</w:t>
      </w:r>
    </w:p>
    <w:p>
      <w:pPr>
        <w:pStyle w:val="Heading2"/>
        <w:spacing w:before="140" w:after="40"/>
      </w:pPr>
      <w:r>
        <w:t>4. Evidence inventory excerpt</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2592"/>
        <w:gridCol w:w="2592"/>
        <w:gridCol w:w="2592"/>
        <w:gridCol w:w="2592"/>
      </w:tblGrid>
      <w:tr>
        <w:trPr>
          <w:tblHeader w:val="true"/>
        </w:trPr>
        <w:tc>
          <w:tcPr>
            <w:tcW w:type="dxa" w:w="2880"/>
            <w:shd w:fill="F7F3EF"/>
          </w:tcPr>
          <w:p>
            <w:r/>
            <w:r>
              <w:rPr>
                <w:b/>
                <w:color w:val="0B2A45"/>
                <w:sz w:val="17"/>
              </w:rPr>
              <w:t>Evidence item</w:t>
            </w:r>
          </w:p>
        </w:tc>
        <w:tc>
          <w:tcPr>
            <w:tcW w:type="dxa" w:w="2160"/>
            <w:shd w:fill="F7F3EF"/>
          </w:tcPr>
          <w:p>
            <w:r/>
            <w:r>
              <w:rPr>
                <w:b/>
                <w:color w:val="0B2A45"/>
                <w:sz w:val="17"/>
              </w:rPr>
              <w:t>Type</w:t>
            </w:r>
          </w:p>
        </w:tc>
        <w:tc>
          <w:tcPr>
            <w:tcW w:type="dxa" w:w="2448"/>
            <w:shd w:fill="F7F3EF"/>
          </w:tcPr>
          <w:p>
            <w:r/>
            <w:r>
              <w:rPr>
                <w:b/>
                <w:color w:val="0B2A45"/>
                <w:sz w:val="17"/>
              </w:rPr>
              <w:t>Safe use</w:t>
            </w:r>
          </w:p>
        </w:tc>
        <w:tc>
          <w:tcPr>
            <w:tcW w:type="dxa" w:w="3168"/>
            <w:shd w:fill="F7F3EF"/>
          </w:tcPr>
          <w:p>
            <w:r/>
            <w:r>
              <w:rPr>
                <w:b/>
                <w:color w:val="0B2A45"/>
                <w:sz w:val="17"/>
              </w:rPr>
              <w:t>Measure/value clue</w:t>
            </w:r>
          </w:p>
        </w:tc>
      </w:tr>
      <w:tr>
        <w:tc>
          <w:tcPr>
            <w:tcW w:type="dxa" w:w="2880"/>
            <w:vAlign w:val="top"/>
          </w:tcPr>
          <w:p>
            <w:r/>
            <w:r>
              <w:rPr>
                <w:b w:val="0"/>
                <w:sz w:val="17"/>
              </w:rPr>
              <w:t>First-week onboarding guide</w:t>
            </w:r>
          </w:p>
        </w:tc>
        <w:tc>
          <w:tcPr>
            <w:tcW w:type="dxa" w:w="2160"/>
            <w:vAlign w:val="top"/>
          </w:tcPr>
          <w:p>
            <w:r/>
            <w:r>
              <w:rPr>
                <w:b w:val="0"/>
                <w:sz w:val="17"/>
              </w:rPr>
              <w:t>Internal work product</w:t>
            </w:r>
          </w:p>
        </w:tc>
        <w:tc>
          <w:tcPr>
            <w:tcW w:type="dxa" w:w="2448"/>
            <w:vAlign w:val="top"/>
          </w:tcPr>
          <w:p>
            <w:r/>
            <w:r>
              <w:rPr>
                <w:b w:val="0"/>
                <w:sz w:val="17"/>
              </w:rPr>
              <w:t>Summary only</w:t>
            </w:r>
          </w:p>
        </w:tc>
        <w:tc>
          <w:tcPr>
            <w:tcW w:type="dxa" w:w="3168"/>
            <w:vAlign w:val="top"/>
          </w:tcPr>
          <w:p>
            <w:r/>
            <w:r>
              <w:rPr>
                <w:b w:val="0"/>
                <w:sz w:val="17"/>
              </w:rPr>
              <w:t>Adopted across 3 locations.</w:t>
            </w:r>
          </w:p>
        </w:tc>
      </w:tr>
      <w:tr>
        <w:tc>
          <w:tcPr>
            <w:tcW w:type="dxa" w:w="2880"/>
            <w:vAlign w:val="top"/>
          </w:tcPr>
          <w:p>
            <w:r/>
            <w:r>
              <w:rPr>
                <w:b w:val="0"/>
                <w:sz w:val="17"/>
              </w:rPr>
              <w:t>Manager handoff question tracker</w:t>
            </w:r>
          </w:p>
        </w:tc>
        <w:tc>
          <w:tcPr>
            <w:tcW w:type="dxa" w:w="2160"/>
            <w:vAlign w:val="top"/>
          </w:tcPr>
          <w:p>
            <w:r/>
            <w:r>
              <w:rPr>
                <w:b w:val="0"/>
                <w:sz w:val="17"/>
              </w:rPr>
              <w:t>Internal tracker</w:t>
            </w:r>
          </w:p>
        </w:tc>
        <w:tc>
          <w:tcPr>
            <w:tcW w:type="dxa" w:w="2448"/>
            <w:vAlign w:val="top"/>
          </w:tcPr>
          <w:p>
            <w:r/>
            <w:r>
              <w:rPr>
                <w:b w:val="0"/>
                <w:sz w:val="17"/>
              </w:rPr>
              <w:t>Private only / summarize</w:t>
            </w:r>
          </w:p>
        </w:tc>
        <w:tc>
          <w:tcPr>
            <w:tcW w:type="dxa" w:w="3168"/>
            <w:vAlign w:val="top"/>
          </w:tcPr>
          <w:p>
            <w:r/>
            <w:r>
              <w:rPr>
                <w:b w:val="0"/>
                <w:sz w:val="17"/>
              </w:rPr>
              <w:t>Repeated handoff questions dropped from daily follow-ups to one weekly exception during first month.</w:t>
            </w:r>
          </w:p>
        </w:tc>
      </w:tr>
      <w:tr>
        <w:tc>
          <w:tcPr>
            <w:tcW w:type="dxa" w:w="2880"/>
            <w:vAlign w:val="top"/>
          </w:tcPr>
          <w:p>
            <w:r/>
            <w:r>
              <w:rPr>
                <w:b w:val="0"/>
                <w:sz w:val="17"/>
              </w:rPr>
              <w:t>HR/operations feedback emails</w:t>
            </w:r>
          </w:p>
        </w:tc>
        <w:tc>
          <w:tcPr>
            <w:tcW w:type="dxa" w:w="2160"/>
            <w:vAlign w:val="top"/>
          </w:tcPr>
          <w:p>
            <w:r/>
            <w:r>
              <w:rPr>
                <w:b w:val="0"/>
                <w:sz w:val="17"/>
              </w:rPr>
              <w:t>Feedback</w:t>
            </w:r>
          </w:p>
        </w:tc>
        <w:tc>
          <w:tcPr>
            <w:tcW w:type="dxa" w:w="2448"/>
            <w:vAlign w:val="top"/>
          </w:tcPr>
          <w:p>
            <w:r/>
            <w:r>
              <w:rPr>
                <w:b w:val="0"/>
                <w:sz w:val="17"/>
              </w:rPr>
              <w:t>Ask permission / summarize</w:t>
            </w:r>
          </w:p>
        </w:tc>
        <w:tc>
          <w:tcPr>
            <w:tcW w:type="dxa" w:w="3168"/>
            <w:vAlign w:val="top"/>
          </w:tcPr>
          <w:p>
            <w:r/>
            <w:r>
              <w:rPr>
                <w:b w:val="0"/>
                <w:sz w:val="17"/>
              </w:rPr>
              <w:t>Confirmed guide was usable and clarified ownership.</w:t>
            </w:r>
          </w:p>
        </w:tc>
      </w:tr>
    </w:tbl>
    <w:p/>
    <w:p>
      <w:pPr>
        <w:pStyle w:val="Heading2"/>
        <w:spacing w:before="140" w:after="40"/>
      </w:pPr>
      <w:r>
        <w:t>5. Context Brief excerpt</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5184"/>
        <w:gridCol w:w="5184"/>
      </w:tblGrid>
      <w:tr>
        <w:trPr>
          <w:tblHeader w:val="true"/>
        </w:trPr>
        <w:tc>
          <w:tcPr>
            <w:tcW w:type="dxa" w:w="2448"/>
            <w:shd w:fill="F7F3EF"/>
          </w:tcPr>
          <w:p>
            <w:r/>
            <w:r>
              <w:rPr>
                <w:b/>
                <w:color w:val="0B2A45"/>
                <w:sz w:val="17"/>
              </w:rPr>
              <w:t>Prompt</w:t>
            </w:r>
          </w:p>
        </w:tc>
        <w:tc>
          <w:tcPr>
            <w:tcW w:type="dxa" w:w="8064"/>
            <w:shd w:fill="F7F3EF"/>
          </w:tcPr>
          <w:p>
            <w:r/>
            <w:r>
              <w:rPr>
                <w:b/>
                <w:color w:val="0B2A45"/>
                <w:sz w:val="17"/>
              </w:rPr>
              <w:t>Example</w:t>
            </w:r>
          </w:p>
        </w:tc>
      </w:tr>
      <w:tr>
        <w:tc>
          <w:tcPr>
            <w:tcW w:type="dxa" w:w="2448"/>
            <w:vAlign w:val="top"/>
          </w:tcPr>
          <w:p>
            <w:r/>
            <w:r>
              <w:rPr>
                <w:b w:val="0"/>
                <w:sz w:val="17"/>
              </w:rPr>
              <w:t>Evidence selected</w:t>
            </w:r>
          </w:p>
        </w:tc>
        <w:tc>
          <w:tcPr>
            <w:tcW w:type="dxa" w:w="8064"/>
            <w:vAlign w:val="top"/>
          </w:tcPr>
          <w:p>
            <w:r/>
            <w:r>
              <w:rPr>
                <w:b w:val="0"/>
                <w:sz w:val="17"/>
              </w:rPr>
              <w:t>First-week onboarding guide.</w:t>
            </w:r>
          </w:p>
        </w:tc>
      </w:tr>
      <w:tr>
        <w:tc>
          <w:tcPr>
            <w:tcW w:type="dxa" w:w="2448"/>
            <w:vAlign w:val="top"/>
          </w:tcPr>
          <w:p>
            <w:r/>
            <w:r>
              <w:rPr>
                <w:b w:val="0"/>
                <w:sz w:val="17"/>
              </w:rPr>
              <w:t>Situation</w:t>
            </w:r>
          </w:p>
        </w:tc>
        <w:tc>
          <w:tcPr>
            <w:tcW w:type="dxa" w:w="8064"/>
            <w:vAlign w:val="top"/>
          </w:tcPr>
          <w:p>
            <w:r/>
            <w:r>
              <w:rPr>
                <w:b w:val="0"/>
                <w:sz w:val="17"/>
              </w:rPr>
              <w:t>Three locations were onboarding new frontline managers differently. New managers received inconsistent first-week guidance, and support teams answered repeated handoff questions.</w:t>
            </w:r>
          </w:p>
        </w:tc>
      </w:tr>
      <w:tr>
        <w:tc>
          <w:tcPr>
            <w:tcW w:type="dxa" w:w="2448"/>
            <w:vAlign w:val="top"/>
          </w:tcPr>
          <w:p>
            <w:r/>
            <w:r>
              <w:rPr>
                <w:b w:val="0"/>
                <w:sz w:val="17"/>
              </w:rPr>
              <w:t>Role</w:t>
            </w:r>
          </w:p>
        </w:tc>
        <w:tc>
          <w:tcPr>
            <w:tcW w:type="dxa" w:w="8064"/>
            <w:vAlign w:val="top"/>
          </w:tcPr>
          <w:p>
            <w:r/>
            <w:r>
              <w:rPr>
                <w:b w:val="0"/>
                <w:sz w:val="17"/>
              </w:rPr>
              <w:t>Maya did not own the entire onboarding process. She drafted the guide, gathered input from HR and operations, revised for usability, and helped coordinate adoption across three locations.</w:t>
            </w:r>
          </w:p>
        </w:tc>
      </w:tr>
      <w:tr>
        <w:tc>
          <w:tcPr>
            <w:tcW w:type="dxa" w:w="2448"/>
            <w:vAlign w:val="top"/>
          </w:tcPr>
          <w:p>
            <w:r/>
            <w:r>
              <w:rPr>
                <w:b w:val="0"/>
                <w:sz w:val="17"/>
              </w:rPr>
              <w:t>Constraints</w:t>
            </w:r>
          </w:p>
        </w:tc>
        <w:tc>
          <w:tcPr>
            <w:tcW w:type="dxa" w:w="8064"/>
            <w:vAlign w:val="top"/>
          </w:tcPr>
          <w:p>
            <w:r/>
            <w:r>
              <w:rPr>
                <w:b w:val="0"/>
                <w:sz w:val="17"/>
              </w:rPr>
              <w:t>No dedicated project team; limited manager time; different local practices; internal documents could not be shared externally; ownership was unclear between HR and operations.</w:t>
            </w:r>
          </w:p>
        </w:tc>
      </w:tr>
      <w:tr>
        <w:tc>
          <w:tcPr>
            <w:tcW w:type="dxa" w:w="2448"/>
            <w:vAlign w:val="top"/>
          </w:tcPr>
          <w:p>
            <w:r/>
            <w:r>
              <w:rPr>
                <w:b w:val="0"/>
                <w:sz w:val="17"/>
              </w:rPr>
              <w:t>Decision</w:t>
            </w:r>
          </w:p>
        </w:tc>
        <w:tc>
          <w:tcPr>
            <w:tcW w:type="dxa" w:w="8064"/>
            <w:vAlign w:val="top"/>
          </w:tcPr>
          <w:p>
            <w:r/>
            <w:r>
              <w:rPr>
                <w:b w:val="0"/>
                <w:sz w:val="17"/>
              </w:rPr>
              <w:t>Create a practical first-week guide instead of proposing a full onboarding redesign.</w:t>
            </w:r>
          </w:p>
        </w:tc>
      </w:tr>
      <w:tr>
        <w:tc>
          <w:tcPr>
            <w:tcW w:type="dxa" w:w="2448"/>
            <w:vAlign w:val="top"/>
          </w:tcPr>
          <w:p>
            <w:r/>
            <w:r>
              <w:rPr>
                <w:b w:val="0"/>
                <w:sz w:val="17"/>
              </w:rPr>
              <w:t>Tradeoff</w:t>
            </w:r>
          </w:p>
        </w:tc>
        <w:tc>
          <w:tcPr>
            <w:tcW w:type="dxa" w:w="8064"/>
            <w:vAlign w:val="top"/>
          </w:tcPr>
          <w:p>
            <w:r/>
            <w:r>
              <w:rPr>
                <w:b w:val="0"/>
                <w:sz w:val="17"/>
              </w:rPr>
              <w:t>The guide did not solve every onboarding issue. It created a usable starting point managers could adopt quickly.</w:t>
            </w:r>
          </w:p>
        </w:tc>
      </w:tr>
      <w:tr>
        <w:tc>
          <w:tcPr>
            <w:tcW w:type="dxa" w:w="2448"/>
            <w:vAlign w:val="top"/>
          </w:tcPr>
          <w:p>
            <w:r/>
            <w:r>
              <w:rPr>
                <w:b w:val="0"/>
                <w:sz w:val="17"/>
              </w:rPr>
              <w:t>What changed</w:t>
            </w:r>
          </w:p>
        </w:tc>
        <w:tc>
          <w:tcPr>
            <w:tcW w:type="dxa" w:w="8064"/>
            <w:vAlign w:val="top"/>
          </w:tcPr>
          <w:p>
            <w:r/>
            <w:r>
              <w:rPr>
                <w:b w:val="0"/>
                <w:sz w:val="17"/>
              </w:rPr>
              <w:t>The guide was adopted across three locations. Repeated handoff questions dropped from daily follow-ups to one weekly exception during the first month of use.</w:t>
            </w:r>
          </w:p>
        </w:tc>
      </w:tr>
    </w:tbl>
    <w:p/>
    <w:p>
      <w:pPr>
        <w:pStyle w:val="Heading2"/>
        <w:spacing w:before="140" w:after="40"/>
      </w:pPr>
      <w:r>
        <w:t>6. Interpretation and claim boundaries</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5184"/>
        <w:gridCol w:w="5184"/>
      </w:tblGrid>
      <w:tr>
        <w:trPr>
          <w:tblHeader w:val="true"/>
        </w:trPr>
        <w:tc>
          <w:tcPr>
            <w:tcW w:type="dxa" w:w="5184"/>
            <w:shd w:fill="F7F3EF"/>
          </w:tcPr>
          <w:p>
            <w:r/>
            <w:r>
              <w:rPr>
                <w:b/>
                <w:color w:val="0B2A45"/>
                <w:sz w:val="17"/>
              </w:rPr>
              <w:t>What the evidence may support</w:t>
            </w:r>
          </w:p>
        </w:tc>
        <w:tc>
          <w:tcPr>
            <w:tcW w:type="dxa" w:w="5184"/>
            <w:shd w:fill="F7F3EF"/>
          </w:tcPr>
          <w:p>
            <w:r/>
            <w:r>
              <w:rPr>
                <w:b/>
                <w:color w:val="0B2A45"/>
                <w:sz w:val="17"/>
              </w:rPr>
              <w:t>What the evidence does not prove</w:t>
            </w:r>
          </w:p>
        </w:tc>
      </w:tr>
      <w:tr>
        <w:tc>
          <w:tcPr>
            <w:tcW w:type="dxa" w:w="5184"/>
            <w:vAlign w:val="top"/>
          </w:tcPr>
          <w:p>
            <w:r/>
            <w:r>
              <w:rPr>
                <w:b w:val="0"/>
                <w:sz w:val="17"/>
              </w:rPr>
              <w:t>Maya can translate inconsistent local practices into usable guidance; coordinate across HR and operations; clarify handoffs during ambiguity; create practical tools that reduce repeated questions; improve consistency within a defined scope.</w:t>
            </w:r>
          </w:p>
        </w:tc>
        <w:tc>
          <w:tcPr>
            <w:tcW w:type="dxa" w:w="5184"/>
            <w:vAlign w:val="top"/>
          </w:tcPr>
          <w:p>
            <w:r/>
            <w:r>
              <w:rPr>
                <w:b w:val="0"/>
                <w:sz w:val="17"/>
              </w:rPr>
              <w:t>Maya should not claim she owned the entire onboarding function, redesigned the full onboarding program, created long-term retention improvement, led HR strategy, managed all locations directly, or produced company-wide transformation.</w:t>
            </w:r>
          </w:p>
        </w:tc>
      </w:tr>
    </w:tbl>
    <w:p/>
    <w:p>
      <w:pPr>
        <w:spacing w:after="80" w:line="259" w:lineRule="auto"/>
      </w:pPr>
      <w:r>
        <w:rPr>
          <w:b w:val="0"/>
          <w:i w:val="0"/>
        </w:rPr>
        <w:t>Claim boundary: Maya can claim that she created and coordinated adoption of a first-week onboarding guide across three locations. She should not claim that she transformed onboarding across the company unless additional evidence supports that larger claim.</w:t>
      </w:r>
    </w:p>
    <w:p>
      <w:pPr>
        <w:pStyle w:val="Heading2"/>
        <w:spacing w:before="140" w:after="40"/>
      </w:pPr>
      <w:r>
        <w:t>7. Positioning hypothesis excerpt</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5184"/>
        <w:gridCol w:w="5184"/>
      </w:tblGrid>
      <w:tr>
        <w:trPr>
          <w:tblHeader w:val="true"/>
        </w:trPr>
        <w:tc>
          <w:tcPr>
            <w:tcW w:type="dxa" w:w="2592"/>
            <w:shd w:fill="F7F3EF"/>
          </w:tcPr>
          <w:p>
            <w:r/>
            <w:r>
              <w:rPr>
                <w:b/>
                <w:color w:val="0B2A45"/>
                <w:sz w:val="17"/>
              </w:rPr>
              <w:t>Element</w:t>
            </w:r>
          </w:p>
        </w:tc>
        <w:tc>
          <w:tcPr>
            <w:tcW w:type="dxa" w:w="7920"/>
            <w:shd w:fill="F7F3EF"/>
          </w:tcPr>
          <w:p>
            <w:r/>
            <w:r>
              <w:rPr>
                <w:b/>
                <w:color w:val="0B2A45"/>
                <w:sz w:val="17"/>
              </w:rPr>
              <w:t>Example</w:t>
            </w:r>
          </w:p>
        </w:tc>
      </w:tr>
      <w:tr>
        <w:tc>
          <w:tcPr>
            <w:tcW w:type="dxa" w:w="2592"/>
            <w:vAlign w:val="top"/>
          </w:tcPr>
          <w:p>
            <w:r/>
            <w:r>
              <w:rPr>
                <w:b w:val="0"/>
                <w:sz w:val="17"/>
              </w:rPr>
              <w:t>Possible audience</w:t>
            </w:r>
          </w:p>
        </w:tc>
        <w:tc>
          <w:tcPr>
            <w:tcW w:type="dxa" w:w="7920"/>
            <w:vAlign w:val="top"/>
          </w:tcPr>
          <w:p>
            <w:r/>
            <w:r>
              <w:rPr>
                <w:b w:val="0"/>
                <w:sz w:val="17"/>
              </w:rPr>
              <w:t>Operations managers, HR operations teams, enablement teams, internal process improvement roles.</w:t>
            </w:r>
          </w:p>
        </w:tc>
      </w:tr>
      <w:tr>
        <w:tc>
          <w:tcPr>
            <w:tcW w:type="dxa" w:w="2592"/>
            <w:vAlign w:val="top"/>
          </w:tcPr>
          <w:p>
            <w:r/>
            <w:r>
              <w:rPr>
                <w:b w:val="0"/>
                <w:sz w:val="17"/>
              </w:rPr>
              <w:t>Problem served</w:t>
            </w:r>
          </w:p>
        </w:tc>
        <w:tc>
          <w:tcPr>
            <w:tcW w:type="dxa" w:w="7920"/>
            <w:vAlign w:val="top"/>
          </w:tcPr>
          <w:p>
            <w:r/>
            <w:r>
              <w:rPr>
                <w:b w:val="0"/>
                <w:sz w:val="17"/>
              </w:rPr>
              <w:t>Teams with inconsistent local practices, unclear handoffs, or repeated questions during onboarding or operational transition.</w:t>
            </w:r>
          </w:p>
        </w:tc>
      </w:tr>
      <w:tr>
        <w:tc>
          <w:tcPr>
            <w:tcW w:type="dxa" w:w="2592"/>
            <w:vAlign w:val="top"/>
          </w:tcPr>
          <w:p>
            <w:r/>
            <w:r>
              <w:rPr>
                <w:b w:val="0"/>
                <w:sz w:val="17"/>
              </w:rPr>
              <w:t>Role/function fit</w:t>
            </w:r>
          </w:p>
        </w:tc>
        <w:tc>
          <w:tcPr>
            <w:tcW w:type="dxa" w:w="7920"/>
            <w:vAlign w:val="top"/>
          </w:tcPr>
          <w:p>
            <w:r/>
            <w:r>
              <w:rPr>
                <w:b w:val="0"/>
                <w:sz w:val="17"/>
              </w:rPr>
              <w:t>Operations coordination, onboarding operations, process improvement support, team lead, internal enablement.</w:t>
            </w:r>
          </w:p>
        </w:tc>
      </w:tr>
      <w:tr>
        <w:tc>
          <w:tcPr>
            <w:tcW w:type="dxa" w:w="2592"/>
            <w:vAlign w:val="top"/>
          </w:tcPr>
          <w:p>
            <w:r/>
            <w:r>
              <w:rPr>
                <w:b w:val="0"/>
                <w:sz w:val="17"/>
              </w:rPr>
              <w:t>Hypothesis status</w:t>
            </w:r>
          </w:p>
        </w:tc>
        <w:tc>
          <w:tcPr>
            <w:tcW w:type="dxa" w:w="7920"/>
            <w:vAlign w:val="top"/>
          </w:tcPr>
          <w:p>
            <w:r/>
            <w:r>
              <w:rPr>
                <w:b w:val="0"/>
                <w:sz w:val="17"/>
              </w:rPr>
              <w:t>Strong enough to test.</w:t>
            </w:r>
          </w:p>
        </w:tc>
      </w:tr>
      <w:tr>
        <w:tc>
          <w:tcPr>
            <w:tcW w:type="dxa" w:w="2592"/>
            <w:vAlign w:val="top"/>
          </w:tcPr>
          <w:p>
            <w:r/>
            <w:r>
              <w:rPr>
                <w:b w:val="0"/>
                <w:sz w:val="17"/>
              </w:rPr>
              <w:t>Positioning hypothesis</w:t>
            </w:r>
          </w:p>
        </w:tc>
        <w:tc>
          <w:tcPr>
            <w:tcW w:type="dxa" w:w="7920"/>
            <w:vAlign w:val="top"/>
          </w:tcPr>
          <w:p>
            <w:r/>
            <w:r>
              <w:rPr>
                <w:b w:val="0"/>
                <w:sz w:val="17"/>
              </w:rPr>
              <w:t>Maya may be well positioned for operations coordination or onboarding operations roles because her record shows evidence of turning inconsistent practices into usable guidance, especially where ownership is unclear and teams need practical process clarity. This should be tested against job postings, conversations with operations leaders, and feedback from people who understand onboarding or enablement work.</w:t>
            </w:r>
          </w:p>
        </w:tc>
      </w:tr>
    </w:tbl>
    <w:p/>
    <w:p>
      <w:pPr>
        <w:pStyle w:val="Heading2"/>
        <w:spacing w:before="140" w:after="40"/>
      </w:pPr>
      <w:r>
        <w:t>8. Audience-specific rendering examples</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5184"/>
        <w:gridCol w:w="5184"/>
      </w:tblGrid>
      <w:tr>
        <w:trPr>
          <w:tblHeader w:val="true"/>
        </w:trPr>
        <w:tc>
          <w:tcPr>
            <w:tcW w:type="dxa" w:w="2160"/>
            <w:shd w:fill="F7F3EF"/>
          </w:tcPr>
          <w:p>
            <w:r/>
            <w:r>
              <w:rPr>
                <w:b/>
                <w:color w:val="0B2A45"/>
                <w:sz w:val="16"/>
              </w:rPr>
              <w:t>Rendering</w:t>
            </w:r>
          </w:p>
        </w:tc>
        <w:tc>
          <w:tcPr>
            <w:tcW w:type="dxa" w:w="8352"/>
            <w:shd w:fill="F7F3EF"/>
          </w:tcPr>
          <w:p>
            <w:r/>
            <w:r>
              <w:rPr>
                <w:b/>
                <w:color w:val="0B2A45"/>
                <w:sz w:val="16"/>
              </w:rPr>
              <w:t>Example</w:t>
            </w:r>
          </w:p>
        </w:tc>
      </w:tr>
      <w:tr>
        <w:tc>
          <w:tcPr>
            <w:tcW w:type="dxa" w:w="2160"/>
            <w:vAlign w:val="top"/>
          </w:tcPr>
          <w:p>
            <w:r/>
            <w:r>
              <w:rPr>
                <w:b w:val="0"/>
                <w:sz w:val="16"/>
              </w:rPr>
              <w:t>Private record version</w:t>
            </w:r>
          </w:p>
        </w:tc>
        <w:tc>
          <w:tcPr>
            <w:tcW w:type="dxa" w:w="8352"/>
            <w:vAlign w:val="top"/>
          </w:tcPr>
          <w:p>
            <w:r/>
            <w:r>
              <w:rPr>
                <w:b w:val="0"/>
                <w:sz w:val="16"/>
              </w:rPr>
              <w:t>Maya helped stabilize first-week onboarding across three locations during a period of staffing constraints and unclear ownership between HR and operations. She drafted a practical guide, gathered input, revised for usability, and coordinated adoption. Repeated handoff questions dropped from daily follow-ups to one weekly exception during the first month. Original internal materials should not be shared externally.</w:t>
            </w:r>
          </w:p>
        </w:tc>
      </w:tr>
      <w:tr>
        <w:tc>
          <w:tcPr>
            <w:tcW w:type="dxa" w:w="2160"/>
            <w:vAlign w:val="top"/>
          </w:tcPr>
          <w:p>
            <w:r/>
            <w:r>
              <w:rPr>
                <w:b w:val="0"/>
                <w:sz w:val="16"/>
              </w:rPr>
              <w:t>Summary-safe version</w:t>
            </w:r>
          </w:p>
        </w:tc>
        <w:tc>
          <w:tcPr>
            <w:tcW w:type="dxa" w:w="8352"/>
            <w:vAlign w:val="top"/>
          </w:tcPr>
          <w:p>
            <w:r/>
            <w:r>
              <w:rPr>
                <w:b w:val="0"/>
                <w:sz w:val="16"/>
              </w:rPr>
              <w:t>Created a practical first-week onboarding guide for new frontline managers across three locations, helping reduce repeated handoff questions and create a more consistent starting point during a period of unclear ownership.</w:t>
            </w:r>
          </w:p>
        </w:tc>
      </w:tr>
      <w:tr>
        <w:tc>
          <w:tcPr>
            <w:tcW w:type="dxa" w:w="2160"/>
            <w:vAlign w:val="top"/>
          </w:tcPr>
          <w:p>
            <w:r/>
            <w:r>
              <w:rPr>
                <w:b w:val="0"/>
                <w:sz w:val="16"/>
              </w:rPr>
              <w:t>Résumé rendering</w:t>
            </w:r>
          </w:p>
        </w:tc>
        <w:tc>
          <w:tcPr>
            <w:tcW w:type="dxa" w:w="8352"/>
            <w:vAlign w:val="top"/>
          </w:tcPr>
          <w:p>
            <w:r/>
            <w:r>
              <w:rPr>
                <w:b w:val="0"/>
                <w:sz w:val="16"/>
              </w:rPr>
              <w:t>Created first-week onboarding guide adopted across 3 locations, reducing repeated handoff questions from daily follow-ups to one weekly exception during the first month of use.</w:t>
            </w:r>
          </w:p>
        </w:tc>
      </w:tr>
      <w:tr>
        <w:tc>
          <w:tcPr>
            <w:tcW w:type="dxa" w:w="2160"/>
            <w:vAlign w:val="top"/>
          </w:tcPr>
          <w:p>
            <w:r/>
            <w:r>
              <w:rPr>
                <w:b w:val="0"/>
                <w:sz w:val="16"/>
              </w:rPr>
              <w:t>LinkedIn rendering</w:t>
            </w:r>
          </w:p>
        </w:tc>
        <w:tc>
          <w:tcPr>
            <w:tcW w:type="dxa" w:w="8352"/>
            <w:vAlign w:val="top"/>
          </w:tcPr>
          <w:p>
            <w:r/>
            <w:r>
              <w:rPr>
                <w:b w:val="0"/>
                <w:sz w:val="16"/>
              </w:rPr>
              <w:t>Much of my work has focused on creating practical clarity where local practices vary. In one onboarding project, I helped turn inconsistent first-week manager guidance across three locations into one shared guide, reducing repeated handoff questions from daily follow-ups to one weekly exception during the first month of use.</w:t>
            </w:r>
          </w:p>
        </w:tc>
      </w:tr>
      <w:tr>
        <w:tc>
          <w:tcPr>
            <w:tcW w:type="dxa" w:w="2160"/>
            <w:vAlign w:val="top"/>
          </w:tcPr>
          <w:p>
            <w:r/>
            <w:r>
              <w:rPr>
                <w:b w:val="0"/>
                <w:sz w:val="16"/>
              </w:rPr>
              <w:t>Interview rendering</w:t>
            </w:r>
          </w:p>
        </w:tc>
        <w:tc>
          <w:tcPr>
            <w:tcW w:type="dxa" w:w="8352"/>
            <w:vAlign w:val="top"/>
          </w:tcPr>
          <w:p>
            <w:r/>
            <w:r>
              <w:rPr>
                <w:b w:val="0"/>
                <w:sz w:val="16"/>
              </w:rPr>
              <w:t>One example was a frontline manager onboarding project across three locations. Each location handled the first week differently, creating inconsistent expectations and repeated handoff questions. I did not own the entire onboarding process, but I drafted a first-week guide, gathered HR and operations input, and revised it so managers could use it quickly. During the first month, repeated handoff questions dropped from daily follow-ups to one weekly exception. The value was not a full redesign; it was a practical fix that made the first week clearer and easier to manage.</w:t>
            </w:r>
          </w:p>
        </w:tc>
      </w:tr>
      <w:tr>
        <w:tc>
          <w:tcPr>
            <w:tcW w:type="dxa" w:w="2160"/>
            <w:vAlign w:val="top"/>
          </w:tcPr>
          <w:p>
            <w:r/>
            <w:r>
              <w:rPr>
                <w:b w:val="0"/>
                <w:sz w:val="16"/>
              </w:rPr>
              <w:t>Portfolio / project summary</w:t>
            </w:r>
          </w:p>
        </w:tc>
        <w:tc>
          <w:tcPr>
            <w:tcW w:type="dxa" w:w="8352"/>
            <w:vAlign w:val="top"/>
          </w:tcPr>
          <w:p>
            <w:r/>
            <w:r>
              <w:rPr>
                <w:b w:val="0"/>
                <w:sz w:val="16"/>
              </w:rPr>
              <w:t>Project: First-week onboarding guide for frontline managers. Purpose: Create a more consistent starting point across three locations. Role: Drafted the guide, gathered HR and operations input, revised for usability, and supported adoption. Measure of Performance: One shared first-week guide adopted across all three locations. Measure of Effectiveness: Repeated handoff questions dropped from daily follow-ups to one weekly exception during the first month. Safe-use note: Original internal materials are not shared externally.</w:t>
            </w:r>
          </w:p>
        </w:tc>
      </w:tr>
    </w:tbl>
    <w:p/>
    <w:p>
      <w:pPr>
        <w:pStyle w:val="Heading2"/>
        <w:spacing w:before="140" w:after="40"/>
      </w:pPr>
      <w:r>
        <w:t>9. Privacy and exclusion log</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5184"/>
        <w:gridCol w:w="5184"/>
      </w:tblGrid>
      <w:tr>
        <w:trPr>
          <w:tblHeader w:val="true"/>
        </w:trPr>
        <w:tc>
          <w:tcPr>
            <w:tcW w:type="dxa" w:w="3168"/>
            <w:shd w:fill="F7F3EF"/>
          </w:tcPr>
          <w:p>
            <w:r/>
            <w:r>
              <w:rPr>
                <w:b/>
                <w:color w:val="0B2A45"/>
                <w:sz w:val="17"/>
              </w:rPr>
              <w:t>Category</w:t>
            </w:r>
          </w:p>
        </w:tc>
        <w:tc>
          <w:tcPr>
            <w:tcW w:type="dxa" w:w="7200"/>
            <w:shd w:fill="F7F3EF"/>
          </w:tcPr>
          <w:p>
            <w:r/>
            <w:r>
              <w:rPr>
                <w:b/>
                <w:color w:val="0B2A45"/>
                <w:sz w:val="17"/>
              </w:rPr>
              <w:t>Example</w:t>
            </w:r>
          </w:p>
        </w:tc>
      </w:tr>
      <w:tr>
        <w:tc>
          <w:tcPr>
            <w:tcW w:type="dxa" w:w="3168"/>
            <w:vAlign w:val="top"/>
          </w:tcPr>
          <w:p>
            <w:r/>
            <w:r>
              <w:rPr>
                <w:b w:val="0"/>
                <w:sz w:val="17"/>
              </w:rPr>
              <w:t>Do not use externally</w:t>
            </w:r>
          </w:p>
        </w:tc>
        <w:tc>
          <w:tcPr>
            <w:tcW w:type="dxa" w:w="7200"/>
            <w:vAlign w:val="top"/>
          </w:tcPr>
          <w:p>
            <w:r/>
            <w:r>
              <w:rPr>
                <w:b w:val="0"/>
                <w:sz w:val="17"/>
              </w:rPr>
              <w:t>Original internal documents, meeting notes, tracker screenshots, manager names, and location identifiers.</w:t>
            </w:r>
          </w:p>
        </w:tc>
      </w:tr>
      <w:tr>
        <w:tc>
          <w:tcPr>
            <w:tcW w:type="dxa" w:w="3168"/>
            <w:vAlign w:val="top"/>
          </w:tcPr>
          <w:p>
            <w:r/>
            <w:r>
              <w:rPr>
                <w:b w:val="0"/>
                <w:sz w:val="17"/>
              </w:rPr>
              <w:t>May require permission</w:t>
            </w:r>
          </w:p>
        </w:tc>
        <w:tc>
          <w:tcPr>
            <w:tcW w:type="dxa" w:w="7200"/>
            <w:vAlign w:val="top"/>
          </w:tcPr>
          <w:p>
            <w:r/>
            <w:r>
              <w:rPr>
                <w:b w:val="0"/>
                <w:sz w:val="17"/>
              </w:rPr>
              <w:t>Direct excerpts from internal documents or feedback emails.</w:t>
            </w:r>
          </w:p>
        </w:tc>
      </w:tr>
      <w:tr>
        <w:tc>
          <w:tcPr>
            <w:tcW w:type="dxa" w:w="3168"/>
            <w:vAlign w:val="top"/>
          </w:tcPr>
          <w:p>
            <w:r/>
            <w:r>
              <w:rPr>
                <w:b w:val="0"/>
                <w:sz w:val="17"/>
              </w:rPr>
              <w:t>Summarize or anonymize</w:t>
            </w:r>
          </w:p>
        </w:tc>
        <w:tc>
          <w:tcPr>
            <w:tcW w:type="dxa" w:w="7200"/>
            <w:vAlign w:val="top"/>
          </w:tcPr>
          <w:p>
            <w:r/>
            <w:r>
              <w:rPr>
                <w:b w:val="0"/>
                <w:sz w:val="17"/>
              </w:rPr>
              <w:t>The guide, feedback, location details, and handoff question tracker.</w:t>
            </w:r>
          </w:p>
        </w:tc>
      </w:tr>
    </w:tbl>
    <w:p/>
    <w:p>
      <w:r>
        <w:br w:type="page"/>
      </w:r>
    </w:p>
    <w:p>
      <w:pPr>
        <w:pStyle w:val="Heading2"/>
        <w:spacing w:before="140" w:after="40"/>
      </w:pPr>
      <w:r>
        <w:t>10. Feedback and revision notes</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5184"/>
        <w:gridCol w:w="5184"/>
      </w:tblGrid>
      <w:tr>
        <w:trPr>
          <w:tblHeader w:val="true"/>
        </w:trPr>
        <w:tc>
          <w:tcPr>
            <w:tcW w:type="dxa" w:w="3024"/>
            <w:shd w:fill="F7F3EF"/>
          </w:tcPr>
          <w:p>
            <w:r/>
            <w:r>
              <w:rPr>
                <w:b/>
                <w:color w:val="0B2A45"/>
                <w:sz w:val="17"/>
              </w:rPr>
              <w:t>Draft / feedback / revision</w:t>
            </w:r>
          </w:p>
        </w:tc>
        <w:tc>
          <w:tcPr>
            <w:tcW w:type="dxa" w:w="7488"/>
            <w:shd w:fill="F7F3EF"/>
          </w:tcPr>
          <w:p>
            <w:r/>
            <w:r>
              <w:rPr>
                <w:b/>
                <w:color w:val="0B2A45"/>
                <w:sz w:val="17"/>
              </w:rPr>
              <w:t>Example</w:t>
            </w:r>
          </w:p>
        </w:tc>
      </w:tr>
      <w:tr>
        <w:tc>
          <w:tcPr>
            <w:tcW w:type="dxa" w:w="3024"/>
            <w:vAlign w:val="top"/>
          </w:tcPr>
          <w:p>
            <w:r/>
            <w:r>
              <w:rPr>
                <w:b w:val="0"/>
                <w:sz w:val="17"/>
              </w:rPr>
              <w:t>Original weak rendering</w:t>
            </w:r>
          </w:p>
        </w:tc>
        <w:tc>
          <w:tcPr>
            <w:tcW w:type="dxa" w:w="7488"/>
            <w:vAlign w:val="top"/>
          </w:tcPr>
          <w:p>
            <w:r/>
            <w:r>
              <w:rPr>
                <w:b w:val="0"/>
                <w:sz w:val="17"/>
              </w:rPr>
              <w:t>Supported onboarding improvements.</w:t>
            </w:r>
          </w:p>
        </w:tc>
      </w:tr>
      <w:tr>
        <w:tc>
          <w:tcPr>
            <w:tcW w:type="dxa" w:w="3024"/>
            <w:vAlign w:val="top"/>
          </w:tcPr>
          <w:p>
            <w:r/>
            <w:r>
              <w:rPr>
                <w:b w:val="0"/>
                <w:sz w:val="17"/>
              </w:rPr>
              <w:t>Overstated rendering to avoid</w:t>
            </w:r>
          </w:p>
        </w:tc>
        <w:tc>
          <w:tcPr>
            <w:tcW w:type="dxa" w:w="7488"/>
            <w:vAlign w:val="top"/>
          </w:tcPr>
          <w:p>
            <w:r/>
            <w:r>
              <w:rPr>
                <w:b w:val="0"/>
                <w:sz w:val="17"/>
              </w:rPr>
              <w:t>Transformed onboarding across three locations.</w:t>
            </w:r>
          </w:p>
        </w:tc>
      </w:tr>
      <w:tr>
        <w:tc>
          <w:tcPr>
            <w:tcW w:type="dxa" w:w="3024"/>
            <w:vAlign w:val="top"/>
          </w:tcPr>
          <w:p>
            <w:r/>
            <w:r>
              <w:rPr>
                <w:b w:val="0"/>
                <w:sz w:val="17"/>
              </w:rPr>
              <w:t>Revised source-backed rendering</w:t>
            </w:r>
          </w:p>
        </w:tc>
        <w:tc>
          <w:tcPr>
            <w:tcW w:type="dxa" w:w="7488"/>
            <w:vAlign w:val="top"/>
          </w:tcPr>
          <w:p>
            <w:r/>
            <w:r>
              <w:rPr>
                <w:b w:val="0"/>
                <w:sz w:val="17"/>
              </w:rPr>
              <w:t>Created first-week onboarding guide adopted across 3 locations, reducing repeated handoff questions from daily follow-ups to one weekly exception during the first month of use.</w:t>
            </w:r>
          </w:p>
        </w:tc>
      </w:tr>
      <w:tr>
        <w:tc>
          <w:tcPr>
            <w:tcW w:type="dxa" w:w="3024"/>
            <w:vAlign w:val="top"/>
          </w:tcPr>
          <w:p>
            <w:r/>
            <w:r>
              <w:rPr>
                <w:b w:val="0"/>
                <w:sz w:val="17"/>
              </w:rPr>
              <w:t>Reason for revision</w:t>
            </w:r>
          </w:p>
        </w:tc>
        <w:tc>
          <w:tcPr>
            <w:tcW w:type="dxa" w:w="7488"/>
            <w:vAlign w:val="top"/>
          </w:tcPr>
          <w:p>
            <w:r/>
            <w:r>
              <w:rPr>
                <w:b w:val="0"/>
                <w:sz w:val="17"/>
              </w:rPr>
              <w:t>The revised version is specific, measured, and bounded. It does not claim ownership of the entire onboarding function.</w:t>
            </w:r>
          </w:p>
        </w:tc>
      </w:tr>
    </w:tbl>
    <w:p/>
    <w:p>
      <w:pPr>
        <w:pStyle w:val="Heading2"/>
        <w:spacing w:before="140" w:after="40"/>
      </w:pPr>
      <w:r>
        <w:t>11. What this record makes possible</w:t>
      </w:r>
    </w:p>
    <w:p>
      <w:pPr>
        <w:spacing w:after="40"/>
        <w:ind w:left="259" w:hanging="173"/>
      </w:pPr>
      <w:r>
        <w:rPr>
          <w:sz w:val="20"/>
        </w:rPr>
        <w:t>• Update a résumé with a specific, evidence-backed bullet.</w:t>
      </w:r>
    </w:p>
    <w:p>
      <w:pPr>
        <w:spacing w:after="40"/>
        <w:ind w:left="259" w:hanging="173"/>
      </w:pPr>
      <w:r>
        <w:rPr>
          <w:sz w:val="20"/>
        </w:rPr>
        <w:t>• Explain the project in an interview.</w:t>
      </w:r>
    </w:p>
    <w:p>
      <w:pPr>
        <w:spacing w:after="40"/>
        <w:ind w:left="259" w:hanging="173"/>
      </w:pPr>
      <w:r>
        <w:rPr>
          <w:sz w:val="20"/>
        </w:rPr>
        <w:t>• Create a public-safe LinkedIn paragraph.</w:t>
      </w:r>
    </w:p>
    <w:p>
      <w:pPr>
        <w:spacing w:after="40"/>
        <w:ind w:left="259" w:hanging="173"/>
      </w:pPr>
      <w:r>
        <w:rPr>
          <w:sz w:val="20"/>
        </w:rPr>
        <w:t>• Build a portfolio summary without sharing internal documents.</w:t>
      </w:r>
    </w:p>
    <w:p>
      <w:pPr>
        <w:spacing w:after="40"/>
        <w:ind w:left="259" w:hanging="173"/>
      </w:pPr>
      <w:r>
        <w:rPr>
          <w:sz w:val="20"/>
        </w:rPr>
        <w:t>• Identify operations coordination and onboarding operations as possible directions.</w:t>
      </w:r>
    </w:p>
    <w:p>
      <w:pPr>
        <w:spacing w:after="40"/>
        <w:ind w:left="259" w:hanging="173"/>
      </w:pPr>
      <w:r>
        <w:rPr>
          <w:sz w:val="20"/>
        </w:rPr>
        <w:t>• Avoid overclaiming ownership of the entire onboarding function.</w:t>
      </w:r>
    </w:p>
    <w:p>
      <w:pPr>
        <w:spacing w:after="40"/>
        <w:ind w:left="259" w:hanging="173"/>
      </w:pPr>
      <w:r>
        <w:rPr>
          <w:sz w:val="20"/>
        </w:rPr>
        <w:t>• Preserve the measure of value before memory fades.</w:t>
      </w:r>
    </w:p>
    <w:p>
      <w:pPr>
        <w:spacing w:after="40"/>
        <w:ind w:left="259" w:hanging="173"/>
      </w:pPr>
      <w:r>
        <w:rPr>
          <w:sz w:val="20"/>
        </w:rPr>
        <w:t>• Use future AI-assisted drafting without letting the tool invent unsupported claims.</w:t>
      </w:r>
    </w:p>
    <w:p>
      <w:pPr>
        <w:pStyle w:val="Heading2"/>
        <w:spacing w:before="140" w:after="40"/>
      </w:pPr>
      <w:r>
        <w:t>12. What this record does not claim</w:t>
      </w:r>
    </w:p>
    <w:p>
      <w:pPr>
        <w:spacing w:after="40"/>
        <w:ind w:left="259" w:hanging="173"/>
      </w:pPr>
      <w:r>
        <w:rPr>
          <w:sz w:val="20"/>
        </w:rPr>
        <w:t>• That Maya owned company onboarding strategy.</w:t>
      </w:r>
    </w:p>
    <w:p>
      <w:pPr>
        <w:spacing w:after="40"/>
        <w:ind w:left="259" w:hanging="173"/>
      </w:pPr>
      <w:r>
        <w:rPr>
          <w:sz w:val="20"/>
        </w:rPr>
        <w:t>• That she improved long-term retention.</w:t>
      </w:r>
    </w:p>
    <w:p>
      <w:pPr>
        <w:spacing w:after="40"/>
        <w:ind w:left="259" w:hanging="173"/>
      </w:pPr>
      <w:r>
        <w:rPr>
          <w:sz w:val="20"/>
        </w:rPr>
        <w:t>• That she managed all frontline managers.</w:t>
      </w:r>
    </w:p>
    <w:p>
      <w:pPr>
        <w:spacing w:after="40"/>
        <w:ind w:left="259" w:hanging="173"/>
      </w:pPr>
      <w:r>
        <w:rPr>
          <w:sz w:val="20"/>
        </w:rPr>
        <w:t>• That she controlled HR policy.</w:t>
      </w:r>
    </w:p>
    <w:p>
      <w:pPr>
        <w:spacing w:after="40"/>
        <w:ind w:left="259" w:hanging="173"/>
      </w:pPr>
      <w:r>
        <w:rPr>
          <w:sz w:val="20"/>
        </w:rPr>
        <w:t>• That she created a company-wide transformation.</w:t>
      </w:r>
    </w:p>
    <w:p>
      <w:pPr>
        <w:spacing w:after="40"/>
        <w:ind w:left="259" w:hanging="173"/>
      </w:pPr>
      <w:r>
        <w:rPr>
          <w:sz w:val="20"/>
        </w:rPr>
        <w:t>• That she can share internal onboarding materials publicly.</w:t>
      </w:r>
    </w:p>
    <w:p>
      <w:pPr>
        <w:spacing w:after="40"/>
        <w:ind w:left="259" w:hanging="173"/>
      </w:pPr>
      <w:r>
        <w:rPr>
          <w:sz w:val="20"/>
        </w:rPr>
        <w:t>• That she has proof of outcomes beyond the first month unless more evidence is added.</w:t>
      </w:r>
    </w:p>
    <w:p>
      <w:pPr>
        <w:pStyle w:val="Heading2"/>
        <w:spacing w:before="140" w:after="40"/>
      </w:pPr>
      <w:r>
        <w:t>Final closing note</w:t>
      </w:r>
    </w:p>
    <w:p>
      <w:pPr>
        <w:spacing w:after="80" w:line="259" w:lineRule="auto"/>
      </w:pPr>
      <w:r>
        <w:rPr>
          <w:b w:val="0"/>
          <w:i w:val="0"/>
        </w:rPr>
        <w:t>A Living Professional Record does not need to contain everything. It needs to preserve what matters well enough that the work can be understood, measured, bounded, protected, and rendered later. The private record can be fuller than the public surface. All renderings come from the same source. The résumé is a rendering. The record is the source of truth.</w:t>
      </w:r>
    </w:p>
    <w:sectPr w:rsidR="00FC693F" w:rsidRPr="0006063C" w:rsidSect="00034616">
      <w:footerReference w:type="default" r:id="rId9"/>
      <w:pgSz w:w="12240" w:h="15840"/>
      <w:pgMar w:top="936" w:right="936" w:bottom="936"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5F6B7A"/>
        <w:sz w:val="16"/>
      </w:rPr>
      <w:t>Jeffrey Paul Chamberlain | The Living Professional Record companion tools</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Georgia" w:hAnsi="Georgia" w:eastAsia="Georgia"/>
      <w:color w:val="1F293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0B2A45"/>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0B2A45"/>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0B2A45"/>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 Paul Chamberlain</dc:creator>
  <cp:keywords/>
  <dc:description/>
  <cp:lastModifiedBy>Jeffrey Paul Chamberlain</cp:lastModifiedBy>
  <cp:revision>1</cp:revision>
  <dcterms:created xsi:type="dcterms:W3CDTF">2013-12-23T23:15:00Z</dcterms:created>
  <dcterms:modified xsi:type="dcterms:W3CDTF">2013-12-23T23:15:00Z</dcterms:modified>
  <cp:category/>
</cp:coreProperties>
</file>