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5 — Living Professional Record Assembly Kit Index</w:t>
      </w:r>
    </w:p>
    <w:p>
      <w:r>
        <w:rPr>
          <w:i/>
          <w:color w:val="5F6B7A"/>
          <w:sz w:val="22"/>
        </w:rPr>
        <w:t>Capstone kit: assemble and maintain the record</w:t>
      </w:r>
    </w:p>
    <w:p>
      <w:r>
        <w:rPr>
          <w:color w:val="B76535"/>
          <w:sz w:val="18"/>
        </w:rPr>
        <w:t>The Living Professional Record | The Professional Truth Trilogy</w:t>
      </w:r>
    </w:p>
    <w:p>
      <w:pPr/>
      <w:r>
        <w:rPr>
          <w:b/>
        </w:rPr>
        <w:t>Use responsibly.</w:t>
      </w:r>
      <w:r>
        <w:t xml:space="preserve"> Do not copy, upload, paste, store, or share restricted or sensitive material in these tools; use summary-only placeholders when needed. Do not paste restricted material into external AI tools unless authorized and approved. Do not publish names, contact information, endorsements, or confirming roles without permission. Do not invent numbers or overstate results.</w:t>
      </w:r>
    </w:p>
    <w:p/>
    <w:p>
      <w:pPr>
        <w:pStyle w:val="Heading1"/>
        <w:spacing w:before="160" w:after="80"/>
      </w:pPr>
      <w:r>
        <w:t>Files in this kit</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5328"/>
            <w:shd w:fill="F7F3EF"/>
          </w:tcPr>
          <w:p>
            <w:r/>
            <w:r>
              <w:rPr>
                <w:b/>
                <w:color w:val="0B2A45"/>
                <w:sz w:val="17"/>
              </w:rPr>
              <w:t>File</w:t>
            </w:r>
          </w:p>
        </w:tc>
        <w:tc>
          <w:tcPr>
            <w:tcW w:type="dxa" w:w="6336"/>
            <w:shd w:fill="F7F3EF"/>
          </w:tcPr>
          <w:p>
            <w:r/>
            <w:r>
              <w:rPr>
                <w:b/>
                <w:color w:val="0B2A45"/>
                <w:sz w:val="17"/>
              </w:rPr>
              <w:t>Use it when you need to...</w:t>
            </w:r>
          </w:p>
        </w:tc>
      </w:tr>
      <w:tr>
        <w:tc>
          <w:tcPr>
            <w:tcW w:type="dxa" w:w="5328"/>
            <w:vAlign w:val="top"/>
          </w:tcPr>
          <w:p>
            <w:r/>
            <w:r>
              <w:rPr>
                <w:b w:val="0"/>
                <w:sz w:val="17"/>
              </w:rPr>
              <w:t>Tool_5A_Living_Professional_Record_Assembly_Guide_v1.docx</w:t>
            </w:r>
          </w:p>
        </w:tc>
        <w:tc>
          <w:tcPr>
            <w:tcW w:type="dxa" w:w="6336"/>
            <w:vAlign w:val="top"/>
          </w:tcPr>
          <w:p>
            <w:r/>
            <w:r>
              <w:rPr>
                <w:b w:val="0"/>
                <w:sz w:val="17"/>
              </w:rPr>
              <w:t>Understand how Tools 1–4 assemble into a maintainable Living Professional Record.</w:t>
            </w:r>
          </w:p>
        </w:tc>
      </w:tr>
      <w:tr>
        <w:tc>
          <w:tcPr>
            <w:tcW w:type="dxa" w:w="5328"/>
            <w:vAlign w:val="top"/>
          </w:tcPr>
          <w:p>
            <w:r/>
            <w:r>
              <w:rPr>
                <w:b w:val="0"/>
                <w:sz w:val="17"/>
              </w:rPr>
              <w:t>Tool_5B_Blank_Living_Professional_Record_Template_v1.docx</w:t>
            </w:r>
          </w:p>
        </w:tc>
        <w:tc>
          <w:tcPr>
            <w:tcW w:type="dxa" w:w="6336"/>
            <w:vAlign w:val="top"/>
          </w:tcPr>
          <w:p>
            <w:r/>
            <w:r>
              <w:rPr>
                <w:b w:val="0"/>
                <w:sz w:val="17"/>
              </w:rPr>
              <w:t>Type directly into a clean template for your own record.</w:t>
            </w:r>
          </w:p>
        </w:tc>
      </w:tr>
      <w:tr>
        <w:tc>
          <w:tcPr>
            <w:tcW w:type="dxa" w:w="5328"/>
            <w:vAlign w:val="top"/>
          </w:tcPr>
          <w:p>
            <w:r/>
            <w:r>
              <w:rPr>
                <w:b w:val="0"/>
                <w:sz w:val="17"/>
              </w:rPr>
              <w:t>Tool_5C_Example_Living_Professional_Record_v1.docx</w:t>
            </w:r>
          </w:p>
        </w:tc>
        <w:tc>
          <w:tcPr>
            <w:tcW w:type="dxa" w:w="6336"/>
            <w:vAlign w:val="top"/>
          </w:tcPr>
          <w:p>
            <w:r/>
            <w:r>
              <w:rPr>
                <w:b w:val="0"/>
                <w:sz w:val="17"/>
              </w:rPr>
              <w:t>See a fictional completed example that shows private record, summary-safe version, and multiple renderings.</w:t>
            </w:r>
          </w:p>
        </w:tc>
      </w:tr>
    </w:tbl>
    <w:p/>
    <w:p>
      <w:pPr>
        <w:pStyle w:val="Heading2"/>
        <w:spacing w:before="140" w:after="40"/>
      </w:pPr>
      <w:r>
        <w:t>Recommended sequence</w:t>
      </w:r>
    </w:p>
    <w:p>
      <w:pPr>
        <w:spacing w:after="40"/>
        <w:ind w:left="317" w:hanging="259"/>
      </w:pPr>
      <w:r>
        <w:rPr>
          <w:sz w:val="20"/>
        </w:rPr>
        <w:t>1. Read Tool 5A to understand the assembly logic.</w:t>
      </w:r>
    </w:p>
    <w:p>
      <w:pPr>
        <w:spacing w:after="40"/>
        <w:ind w:left="317" w:hanging="259"/>
      </w:pPr>
      <w:r>
        <w:rPr>
          <w:sz w:val="20"/>
        </w:rPr>
        <w:t>2. Complete Tool 5B using outputs from Tools 1–4.</w:t>
      </w:r>
    </w:p>
    <w:p>
      <w:pPr>
        <w:spacing w:after="40"/>
        <w:ind w:left="317" w:hanging="259"/>
      </w:pPr>
      <w:r>
        <w:rPr>
          <w:sz w:val="20"/>
        </w:rPr>
        <w:t>3. Use Tool 5C as a model for how much to include, what to protect, and how to render safely.</w:t>
      </w:r>
    </w:p>
    <w:p>
      <w:pPr>
        <w:spacing w:after="40"/>
        <w:ind w:left="317" w:hanging="259"/>
      </w:pPr>
      <w:r>
        <w:rPr>
          <w:sz w:val="20"/>
        </w:rPr>
        <w:t>4. Return to Tool 4 when you need a new audience-specific rendering.</w:t>
      </w:r>
    </w:p>
    <w:p>
      <w:pPr>
        <w:spacing w:after="40"/>
        <w:ind w:left="317" w:hanging="259"/>
      </w:pPr>
      <w:r>
        <w:rPr>
          <w:sz w:val="20"/>
        </w:rPr>
        <w:t>5. Update Tool 5B over time as new evidence, feedback, and revisions become available.</w:t>
      </w:r>
    </w:p>
    <w:p>
      <w:pPr>
        <w:pStyle w:val="Heading2"/>
        <w:spacing w:before="140" w:after="40"/>
      </w:pPr>
      <w:r>
        <w:t>How this kit fits the system</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4032"/>
            <w:shd w:fill="F7F3EF"/>
          </w:tcPr>
          <w:p>
            <w:r/>
            <w:r>
              <w:rPr>
                <w:b/>
                <w:color w:val="0B2A45"/>
                <w:sz w:val="17"/>
              </w:rPr>
              <w:t>Prior tool</w:t>
            </w:r>
          </w:p>
        </w:tc>
        <w:tc>
          <w:tcPr>
            <w:tcW w:type="dxa" w:w="6624"/>
            <w:shd w:fill="F7F3EF"/>
          </w:tcPr>
          <w:p>
            <w:r/>
            <w:r>
              <w:rPr>
                <w:b/>
                <w:color w:val="0B2A45"/>
                <w:sz w:val="17"/>
              </w:rPr>
              <w:t>Feeds Tool 5 by providing...</w:t>
            </w:r>
          </w:p>
        </w:tc>
      </w:tr>
      <w:tr>
        <w:tc>
          <w:tcPr>
            <w:tcW w:type="dxa" w:w="4032"/>
            <w:vAlign w:val="top"/>
          </w:tcPr>
          <w:p>
            <w:r/>
            <w:r>
              <w:rPr>
                <w:b w:val="0"/>
                <w:sz w:val="17"/>
              </w:rPr>
              <w:t>Tool 1 — Evidence Inventory</w:t>
            </w:r>
          </w:p>
        </w:tc>
        <w:tc>
          <w:tcPr>
            <w:tcW w:type="dxa" w:w="6624"/>
            <w:vAlign w:val="top"/>
          </w:tcPr>
          <w:p>
            <w:r/>
            <w:r>
              <w:rPr>
                <w:b w:val="0"/>
                <w:sz w:val="17"/>
              </w:rPr>
              <w:t>Evidence entries, safe-use labels, measure/value clues, and possible claims.</w:t>
            </w:r>
          </w:p>
        </w:tc>
      </w:tr>
      <w:tr>
        <w:tc>
          <w:tcPr>
            <w:tcW w:type="dxa" w:w="4032"/>
            <w:vAlign w:val="top"/>
          </w:tcPr>
          <w:p>
            <w:r/>
            <w:r>
              <w:rPr>
                <w:b w:val="0"/>
                <w:sz w:val="17"/>
              </w:rPr>
              <w:t>Tool 2 — Context Reconstruction</w:t>
            </w:r>
          </w:p>
        </w:tc>
        <w:tc>
          <w:tcPr>
            <w:tcW w:type="dxa" w:w="6624"/>
            <w:vAlign w:val="top"/>
          </w:tcPr>
          <w:p>
            <w:r/>
            <w:r>
              <w:rPr>
                <w:b w:val="0"/>
                <w:sz w:val="17"/>
              </w:rPr>
              <w:t>Context entries, before/after meaning, and claim boundaries.</w:t>
            </w:r>
          </w:p>
        </w:tc>
      </w:tr>
      <w:tr>
        <w:tc>
          <w:tcPr>
            <w:tcW w:type="dxa" w:w="4032"/>
            <w:vAlign w:val="top"/>
          </w:tcPr>
          <w:p>
            <w:r/>
            <w:r>
              <w:rPr>
                <w:b w:val="0"/>
                <w:sz w:val="17"/>
              </w:rPr>
              <w:t>Tool 3 — Positioning Hypothesis</w:t>
            </w:r>
          </w:p>
        </w:tc>
        <w:tc>
          <w:tcPr>
            <w:tcW w:type="dxa" w:w="6624"/>
            <w:vAlign w:val="top"/>
          </w:tcPr>
          <w:p>
            <w:r/>
            <w:r>
              <w:rPr>
                <w:b w:val="0"/>
                <w:sz w:val="17"/>
              </w:rPr>
              <w:t>Audiences, value patterns, role/function directions, and testable hypotheses.</w:t>
            </w:r>
          </w:p>
        </w:tc>
      </w:tr>
      <w:tr>
        <w:tc>
          <w:tcPr>
            <w:tcW w:type="dxa" w:w="4032"/>
            <w:vAlign w:val="top"/>
          </w:tcPr>
          <w:p>
            <w:r/>
            <w:r>
              <w:rPr>
                <w:b w:val="0"/>
                <w:sz w:val="17"/>
              </w:rPr>
              <w:t>Tool 4 — Record-to-Rendering</w:t>
            </w:r>
          </w:p>
        </w:tc>
        <w:tc>
          <w:tcPr>
            <w:tcW w:type="dxa" w:w="6624"/>
            <w:vAlign w:val="top"/>
          </w:tcPr>
          <w:p>
            <w:r/>
            <w:r>
              <w:rPr>
                <w:b w:val="0"/>
                <w:sz w:val="17"/>
              </w:rPr>
              <w:t>Audience-specific renderings, feedback, privacy limits, and revision notes.</w:t>
            </w:r>
          </w:p>
        </w:tc>
      </w:tr>
    </w:tbl>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0368"/>
      </w:tblGrid>
      <w:tr>
        <w:tc>
          <w:tcPr>
            <w:tcW w:type="dxa" w:w="10368"/>
            <w:shd w:fill="F3EEE8"/>
          </w:tcPr>
          <w:p>
            <w:pPr>
              <w:spacing w:after="40"/>
            </w:pPr>
            <w:r>
              <w:rPr>
                <w:b/>
                <w:color w:val="0B2A45"/>
                <w:sz w:val="21"/>
              </w:rPr>
              <w:t>Capstone principle</w:t>
            </w:r>
          </w:p>
          <w:p>
            <w:pPr>
              <w:spacing w:after="0"/>
            </w:pPr>
            <w:r>
              <w:rPr>
                <w:sz w:val="19"/>
              </w:rPr>
              <w:t>The record does not replace the résumé. It makes the résumé, profile, interview answer, bio, portfolio, proposal, and future AI-assisted draft accountable to a source.</w:t>
            </w:r>
          </w:p>
        </w:tc>
      </w:tr>
    </w:tbl>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